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3E934" w14:textId="77777777" w:rsidR="008B4CBC" w:rsidRDefault="008B4CBC" w:rsidP="008B4CBC">
      <w:pPr>
        <w:pStyle w:val="F2-zkladn"/>
        <w:spacing w:line="276" w:lineRule="auto"/>
        <w:rPr>
          <w:b/>
          <w:sz w:val="28"/>
          <w:szCs w:val="28"/>
        </w:rPr>
      </w:pPr>
      <w:r>
        <w:rPr>
          <w:b/>
          <w:sz w:val="28"/>
          <w:szCs w:val="28"/>
        </w:rPr>
        <w:t>TISKOVÁ ZPRÁVA</w:t>
      </w:r>
    </w:p>
    <w:p w14:paraId="6A51F8D5" w14:textId="56538301" w:rsidR="008B4CBC" w:rsidRPr="00AC3268" w:rsidRDefault="008B4CBC" w:rsidP="00AC3268">
      <w:pPr>
        <w:pStyle w:val="F2-zkladn"/>
        <w:spacing w:line="276" w:lineRule="auto"/>
        <w:jc w:val="right"/>
        <w:rPr>
          <w:b/>
          <w:sz w:val="28"/>
          <w:szCs w:val="28"/>
        </w:rPr>
      </w:pPr>
      <w:r w:rsidRPr="00455A3C">
        <w:tab/>
      </w:r>
      <w:r w:rsidRPr="00893890">
        <w:t>Praha,</w:t>
      </w:r>
      <w:r>
        <w:t xml:space="preserve"> </w:t>
      </w:r>
      <w:r w:rsidR="003B2330">
        <w:t>31</w:t>
      </w:r>
      <w:r>
        <w:t xml:space="preserve">. </w:t>
      </w:r>
      <w:r w:rsidR="005F1230">
        <w:t>červ</w:t>
      </w:r>
      <w:r w:rsidR="00A11CD1">
        <w:t xml:space="preserve">ence </w:t>
      </w:r>
      <w:r w:rsidRPr="00893890">
        <w:t>202</w:t>
      </w:r>
      <w:r>
        <w:t>6</w:t>
      </w:r>
    </w:p>
    <w:p w14:paraId="2BE46F92" w14:textId="69A7FCFB" w:rsidR="00A11CD1" w:rsidRPr="00A11CD1" w:rsidRDefault="00C55F9C" w:rsidP="00A11CD1">
      <w:pPr>
        <w:rPr>
          <w:b/>
          <w:bCs/>
          <w:kern w:val="28"/>
          <w:sz w:val="28"/>
          <w:szCs w:val="28"/>
        </w:rPr>
      </w:pPr>
      <w:r>
        <w:rPr>
          <w:b/>
          <w:bCs/>
          <w:kern w:val="28"/>
          <w:sz w:val="28"/>
          <w:szCs w:val="28"/>
        </w:rPr>
        <w:t xml:space="preserve">Fidelity International: </w:t>
      </w:r>
      <w:r w:rsidR="00A11CD1" w:rsidRPr="00A11CD1">
        <w:rPr>
          <w:b/>
          <w:bCs/>
          <w:kern w:val="28"/>
          <w:sz w:val="28"/>
          <w:szCs w:val="28"/>
        </w:rPr>
        <w:t>Krátkodobé pohyby trhu, dlouhodobé příležitosti</w:t>
      </w:r>
    </w:p>
    <w:p w14:paraId="5512C96A" w14:textId="02520A67" w:rsidR="004739FA" w:rsidRPr="004739FA" w:rsidRDefault="004739FA" w:rsidP="004739FA">
      <w:r w:rsidRPr="004739FA">
        <w:t xml:space="preserve">Suroviny související s transformací energetiky nedávno zasáhla volatilita, která byla ovlivněna geopolitickými riziky, očekáváním změny úrokových sazeb a proměnlivou náladou investorů. I v takové situaci se domníváme, že existují selektivní investiční příležitosti tam, kde fundamentální ukazatele zůstávají silnější než naznačuje nedávný cenový vývoj. Dlouhodobý investiční příběh surovin podporuje poptávka související s energetickou transformací, širší geopolitické a průmyslové faktory i omezená nabídka klíčových surovin. </w:t>
      </w:r>
    </w:p>
    <w:p w14:paraId="4CC5CED5" w14:textId="77777777" w:rsidR="004739FA" w:rsidRPr="004739FA" w:rsidRDefault="004739FA" w:rsidP="004739FA">
      <w:pPr>
        <w:numPr>
          <w:ilvl w:val="0"/>
          <w:numId w:val="28"/>
        </w:numPr>
      </w:pPr>
      <w:r w:rsidRPr="004739FA">
        <w:t xml:space="preserve">Dlouhodobý investiční příběh surovin pro transformaci podporuje nejen samotná transformace, ale také důraz na bezpečnost dodavatelských řetězců strategických surovin, industrializace rozvíjejících se ekonomik, investice do infrastruktury pro umělou inteligenci a měnící se klimatické podmínky. </w:t>
      </w:r>
    </w:p>
    <w:p w14:paraId="5B9CADB9" w14:textId="77777777" w:rsidR="004739FA" w:rsidRPr="004739FA" w:rsidRDefault="004739FA" w:rsidP="004739FA">
      <w:pPr>
        <w:numPr>
          <w:ilvl w:val="0"/>
          <w:numId w:val="28"/>
        </w:numPr>
      </w:pPr>
      <w:r w:rsidRPr="004739FA">
        <w:t xml:space="preserve">Nadále pozorujeme atraktivní investiční příležitosti v oblasti biopaliv, hliníku, mědi, uranu, vzácných zemin a drahých kovů – klíčem je však pečlivý výběr. </w:t>
      </w:r>
    </w:p>
    <w:p w14:paraId="24C18513" w14:textId="77777777" w:rsidR="004739FA" w:rsidRPr="004739FA" w:rsidRDefault="004739FA" w:rsidP="004739FA">
      <w:pPr>
        <w:numPr>
          <w:ilvl w:val="0"/>
          <w:numId w:val="28"/>
        </w:numPr>
      </w:pPr>
      <w:r w:rsidRPr="004739FA">
        <w:t xml:space="preserve">Nedávná volatilita nezměnila naše přesvědčení o dlouhodobém výhledu těchto surovin. Naopak vytvořila několik zajímavých investičních příležitostí a zároveň potvrdila význam investic do společností s kvalitními aktivy, odolnými rozvahami a disciplinovaným přístupem k alokaci kapitálu, přičemž i nadále považujeme za zásadní selektivní přístup k ocenění. </w:t>
      </w:r>
    </w:p>
    <w:p w14:paraId="2F1AEED6" w14:textId="77777777" w:rsidR="004739FA" w:rsidRPr="004739FA" w:rsidRDefault="004739FA" w:rsidP="004739FA">
      <w:r w:rsidRPr="004739FA">
        <w:t xml:space="preserve">Nedávný vývoj investic do surovin souvisejících s energetickou transformací byl velmi volatilní. Obzvláště patrné to bylo během narušení trhu souvisejícího s Íránem, kdy řada komodit nejprve posílila v reakci na očekávání omezenější nabídky, vyšší rizikové prémie spojené s energetickou bezpečností a možnost dlouhodobějších logistických komplikací. Konflikt znovu obrátil pozornost investorů k otázce energetické bezpečnosti, zejména v oblastech, jako jsou biopaliva, kde získávají na významu domácí dodavatelské řetězce a politická podpora. </w:t>
      </w:r>
    </w:p>
    <w:p w14:paraId="374965C7" w14:textId="2AAAF8EB" w:rsidR="004739FA" w:rsidRPr="004739FA" w:rsidRDefault="00C55F9C" w:rsidP="004739FA">
      <w:r>
        <w:t>„</w:t>
      </w:r>
      <w:r w:rsidR="004739FA" w:rsidRPr="00E71134">
        <w:rPr>
          <w:i/>
          <w:iCs/>
        </w:rPr>
        <w:t>Velká část tohoto růstu se však následně vytratila, a to navzdory tomu, že podle našeho názoru došlo k výraznému zlepšení fundamentálních ukazatelů i schopnosti společností produkujících některé z těchto komodit generovat volné peněžní toky. Domníváme se proto, že se v některých částech portfolia vytvořil nesoulad mezi krátkodobým tržním oceněním a fundamentální hodnotou. Za zmínku stojí, že některé z těchto akcií zaznamenaly velmi výrazný růst</w:t>
      </w:r>
      <w:r>
        <w:t>,“ vysvětluje</w:t>
      </w:r>
      <w:r w:rsidR="00E71134">
        <w:t xml:space="preserve"> </w:t>
      </w:r>
      <w:r w:rsidR="00E71134" w:rsidRPr="00E71134">
        <w:t>Oliver Hextall</w:t>
      </w:r>
      <w:r w:rsidR="00E71134">
        <w:t>, portfolio manager Fidelity International.</w:t>
      </w:r>
    </w:p>
    <w:p w14:paraId="15D25B90" w14:textId="77777777" w:rsidR="004739FA" w:rsidRPr="004739FA" w:rsidRDefault="004739FA" w:rsidP="004739FA">
      <w:pPr>
        <w:rPr>
          <w:b/>
          <w:bCs/>
        </w:rPr>
      </w:pPr>
      <w:r w:rsidRPr="004739FA">
        <w:rPr>
          <w:b/>
          <w:bCs/>
        </w:rPr>
        <w:t>Dlouhodobý investiční příběh některých surovin zůstává beze změny</w:t>
      </w:r>
    </w:p>
    <w:p w14:paraId="420F55BD" w14:textId="3307AF4F" w:rsidR="004739FA" w:rsidRPr="004739FA" w:rsidRDefault="00E71134" w:rsidP="004739FA">
      <w:r>
        <w:t>„</w:t>
      </w:r>
      <w:r w:rsidR="004739FA" w:rsidRPr="00E71134">
        <w:rPr>
          <w:i/>
          <w:iCs/>
        </w:rPr>
        <w:t xml:space="preserve">V širším kontextu jsme i nadále přesvědčeni, že dlouhodobý investiční příběh surovin souvisejících s energetickou transformací zůstává nedotčen. Přestože je celé téma založeno na energetické transformaci, poptávka se dále rozšiřuje. Geopolitické napětí zvyšuje důraz na bezpečnost dodavatelských řetězců strategických surovin, industrializace rozvíjejících se ekonomik nadále podporuje dlouhodobou poptávku po materiálech a investice do datových center souvisejících s umělou </w:t>
      </w:r>
      <w:r w:rsidR="004739FA" w:rsidRPr="00E71134">
        <w:rPr>
          <w:i/>
          <w:iCs/>
        </w:rPr>
        <w:lastRenderedPageBreak/>
        <w:t>inteligencí představují další zdroj poptávky po energiích a infrastruktuře. Současně zůstává nabídka omezená v důsledku kapitálové disciplíny, vyšších nákladů na obnovu kapacit, složitých povolovacích procesů a omezených volných výrobních kapacit u řady klíčových komodit</w:t>
      </w:r>
      <w:r w:rsidRPr="00E71134">
        <w:rPr>
          <w:i/>
          <w:iCs/>
        </w:rPr>
        <w:t>,“</w:t>
      </w:r>
      <w:r w:rsidRPr="00E71134">
        <w:t xml:space="preserve"> dodává</w:t>
      </w:r>
      <w:r>
        <w:rPr>
          <w:i/>
          <w:iCs/>
        </w:rPr>
        <w:t xml:space="preserve"> </w:t>
      </w:r>
      <w:r w:rsidRPr="00E71134">
        <w:t>Oliver Hextall</w:t>
      </w:r>
      <w:r w:rsidR="002E64B5">
        <w:t>.</w:t>
      </w:r>
    </w:p>
    <w:p w14:paraId="615916DD" w14:textId="77777777" w:rsidR="004739FA" w:rsidRPr="004739FA" w:rsidRDefault="004739FA" w:rsidP="004739FA">
      <w:pPr>
        <w:rPr>
          <w:b/>
          <w:bCs/>
        </w:rPr>
      </w:pPr>
      <w:r w:rsidRPr="004739FA">
        <w:t> </w:t>
      </w:r>
      <w:r w:rsidRPr="004739FA">
        <w:rPr>
          <w:b/>
          <w:bCs/>
        </w:rPr>
        <w:t>Kromě geopolitiky začíná být významným faktorem komoditních trhů také počasí</w:t>
      </w:r>
    </w:p>
    <w:p w14:paraId="31CF0902" w14:textId="77777777" w:rsidR="004739FA" w:rsidRPr="004739FA" w:rsidRDefault="004739FA" w:rsidP="004739FA">
      <w:r w:rsidRPr="004739FA">
        <w:t>Vedle geopolitiky se dalším významným hybatelem komoditních trhů stává počasí. Klimatický jev El Niño má potenciál narušit jak těžební, tak zemědělské dodavatelské řetězce. Nadměrné srážky v některých částech Jižní Ameriky – a naopak jejich nedostatek v jiných oblastech – mohou negativně ovlivnit těžbu i logistiku, zatímco dopady počasí v klíčových zemědělských regionech se budou lišit podle jednotlivých plodin a lokalit. Jak nadměrné množství srážek, tak jejich nedostatek představují pro komoditní nabídku vlastní specifická rizika. Přestože konečný vývoj zůstává nejistý, El Niño ukazuje, že klimatické výkyvy se stávají stále významnějším faktorem ovlivňujícím komoditní trhy.</w:t>
      </w:r>
    </w:p>
    <w:p w14:paraId="6E995AB4" w14:textId="610333FF" w:rsidR="004739FA" w:rsidRPr="004739FA" w:rsidRDefault="004739FA" w:rsidP="004739FA">
      <w:r w:rsidRPr="004739FA">
        <w:t xml:space="preserve">Tyto skutečnosti podle názoru </w:t>
      </w:r>
      <w:r w:rsidR="002E64B5">
        <w:t xml:space="preserve">Fidelity International </w:t>
      </w:r>
      <w:r w:rsidRPr="004739FA">
        <w:t>potvrzují, proč se současný komoditní cyklus strukturálně liší od předchozích cyklů. Níže uvedený graf ilustruje dlouhodobé cyklické chování tohoto sektoru, kdy po obdobích výrazné nadvýkonnosti často následují dlouhá období korekce, což vede investory ke skepsi ohledně dlouhodobého investičního potenciálu. Současný cyklus se však výrazně liší od komoditního boomu taženého Čínou v první dekádě tohoto století. Poptávka je dnes mnohem větší, ale nabídku stále více omezuje dlouhodobé podinvestování, kapitálová disciplína producentů, zdlouhavé povolovací procesy, rostoucí náklady na obnovu kapacit a stále častěji také klimatické vlivy. Tato kombinace faktorů podporuje názor, že nedávnou volatilitu je třeba vnímat v kontextu strukturálně silnějších fundamentů trhu s materiály pro energetickou transformaci.</w:t>
      </w:r>
    </w:p>
    <w:p w14:paraId="0C39A873" w14:textId="78B0CB34" w:rsidR="004739FA" w:rsidRPr="004739FA" w:rsidRDefault="004739FA" w:rsidP="004739FA">
      <w:pPr>
        <w:rPr>
          <w:b/>
          <w:bCs/>
        </w:rPr>
      </w:pPr>
      <w:r w:rsidRPr="004739FA">
        <w:rPr>
          <w:b/>
          <w:bCs/>
        </w:rPr>
        <w:t>Nový komoditní supercyklus tažený strukturální poptávkou a omezenou nabídkou</w:t>
      </w:r>
    </w:p>
    <w:p w14:paraId="1AFFFD66" w14:textId="1AD552E2" w:rsidR="004739FA" w:rsidRDefault="004739FA" w:rsidP="004739FA">
      <w:pPr>
        <w:rPr>
          <w:i/>
          <w:iCs/>
        </w:rPr>
      </w:pPr>
      <w:r w:rsidRPr="004739FA">
        <w:rPr>
          <w:i/>
          <w:iCs/>
        </w:rPr>
        <w:t>Minulá výkonnost není spolehlivým ukazatelem budoucích výnosů.</w:t>
      </w:r>
    </w:p>
    <w:p w14:paraId="5AC3EA54" w14:textId="0AEBD085" w:rsidR="004739FA" w:rsidRPr="004739FA" w:rsidRDefault="004739FA" w:rsidP="004739FA">
      <w:pPr>
        <w:pStyle w:val="F2-zkladn"/>
      </w:pPr>
      <w:r>
        <w:rPr>
          <w:noProof/>
        </w:rPr>
        <w:drawing>
          <wp:anchor distT="0" distB="0" distL="114300" distR="114300" simplePos="0" relativeHeight="251658240" behindDoc="1" locked="0" layoutInCell="1" allowOverlap="1" wp14:anchorId="35B9F622" wp14:editId="13AB274E">
            <wp:simplePos x="0" y="0"/>
            <wp:positionH relativeFrom="margin">
              <wp:posOffset>-1270</wp:posOffset>
            </wp:positionH>
            <wp:positionV relativeFrom="paragraph">
              <wp:posOffset>426720</wp:posOffset>
            </wp:positionV>
            <wp:extent cx="5759450" cy="2127885"/>
            <wp:effectExtent l="0" t="0" r="0" b="5715"/>
            <wp:wrapTight wrapText="bothSides">
              <wp:wrapPolygon edited="0">
                <wp:start x="0" y="0"/>
                <wp:lineTo x="0" y="21465"/>
                <wp:lineTo x="21505" y="21465"/>
                <wp:lineTo x="21505" y="0"/>
                <wp:lineTo x="0" y="0"/>
              </wp:wrapPolygon>
            </wp:wrapTight>
            <wp:docPr id="19396278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27861" name="Obrázek 1939627861"/>
                    <pic:cNvPicPr/>
                  </pic:nvPicPr>
                  <pic:blipFill>
                    <a:blip r:embed="rId11">
                      <a:extLst>
                        <a:ext uri="{28A0092B-C50C-407E-A947-70E740481C1C}">
                          <a14:useLocalDpi xmlns:a14="http://schemas.microsoft.com/office/drawing/2010/main" val="0"/>
                        </a:ext>
                      </a:extLst>
                    </a:blip>
                    <a:stretch>
                      <a:fillRect/>
                    </a:stretch>
                  </pic:blipFill>
                  <pic:spPr>
                    <a:xfrm>
                      <a:off x="0" y="0"/>
                      <a:ext cx="5759450" cy="2127885"/>
                    </a:xfrm>
                    <a:prstGeom prst="rect">
                      <a:avLst/>
                    </a:prstGeom>
                  </pic:spPr>
                </pic:pic>
              </a:graphicData>
            </a:graphic>
          </wp:anchor>
        </w:drawing>
      </w:r>
    </w:p>
    <w:p w14:paraId="69A8FFAE" w14:textId="77777777" w:rsidR="004739FA" w:rsidRPr="004739FA" w:rsidRDefault="004739FA" w:rsidP="004739FA">
      <w:r w:rsidRPr="004739FA">
        <w:rPr>
          <w:i/>
          <w:iCs/>
        </w:rPr>
        <w:t>Zdroj: LSEG Workspace, k 30. 6. 2026. Total Return Index v amerických dolarech, přepočtený na hodnotu 100 k 31. 12. 1999.</w:t>
      </w:r>
    </w:p>
    <w:p w14:paraId="78A194FF" w14:textId="77777777" w:rsidR="00C55F9C" w:rsidRDefault="00C55F9C" w:rsidP="004739FA">
      <w:pPr>
        <w:rPr>
          <w:b/>
          <w:bCs/>
        </w:rPr>
      </w:pPr>
    </w:p>
    <w:p w14:paraId="136596F2" w14:textId="2065B370" w:rsidR="004739FA" w:rsidRPr="004739FA" w:rsidRDefault="004739FA" w:rsidP="004739FA">
      <w:pPr>
        <w:rPr>
          <w:b/>
          <w:bCs/>
        </w:rPr>
      </w:pPr>
      <w:r w:rsidRPr="004739FA">
        <w:rPr>
          <w:b/>
          <w:bCs/>
        </w:rPr>
        <w:lastRenderedPageBreak/>
        <w:t>Biopaliva: regulační podpora i marže zůstávají příznivé</w:t>
      </w:r>
    </w:p>
    <w:p w14:paraId="3B5C887F" w14:textId="77777777" w:rsidR="004739FA" w:rsidRPr="004739FA" w:rsidRDefault="004739FA" w:rsidP="004739FA">
      <w:r w:rsidRPr="004739FA">
        <w:t>Sektor rostlinných olejů a biopaliv zpočátku těžil z narušení trhu souvisejícího s Íránem, když investoři přehodnocovali rizika pro energetickou bezpečnost a strategický význam domácích dodavatelských řetězců pohonných hmot. Podpůrné regulatorní prostředí pro obnovitelnou naftu navíc vytvořilo dokončení pravidel Renewable Volume Obligation (RVO) ve Spojených státech, které dále posílilo očekávání některých zpracovatelů a dodavatelů vstupních surovin.</w:t>
      </w:r>
    </w:p>
    <w:p w14:paraId="67ED4E05" w14:textId="77777777" w:rsidR="004739FA" w:rsidRPr="004739FA" w:rsidRDefault="004739FA" w:rsidP="004739FA">
      <w:r w:rsidRPr="004739FA">
        <w:t>V poslední době však trh část zisků korigoval, protože investoři přesouvali kapitál z aktiv, která byla vnímána jako hlavní příjemci geopolitického konfliktu. Provozní prostředí však zůstává příznivé. Zpracovatelské marže jsou i nadále výrazně vyšší než před obdobím geopolitických turbulencí a střednědobý investiční příběh nadále podporují regulatorní opatření i rostoucí důraz na energetickou bezpečnost.</w:t>
      </w:r>
    </w:p>
    <w:p w14:paraId="15D70683" w14:textId="77777777" w:rsidR="004739FA" w:rsidRPr="004739FA" w:rsidRDefault="004739FA" w:rsidP="004739FA">
      <w:r w:rsidRPr="004739FA">
        <w:t>Podobný vývoj zaznamenal také metanol. Jeho ceny i akcie společností působících v tomto odvětví oslabily navzdory potenciálu ziskovosti a tvorby volných peněžních toků. Nedávnou korekci proto vnímáme jako připomínku krátkodobého zaměření trhu, zatímco střednědobý investiční příběh zůstává podpořen regulatorním prostředím, příznivými maržemi a důrazem na energetickou bezpečnost.</w:t>
      </w:r>
    </w:p>
    <w:p w14:paraId="75218A41" w14:textId="77777777" w:rsidR="004739FA" w:rsidRPr="004739FA" w:rsidRDefault="004739FA" w:rsidP="004739FA">
      <w:pPr>
        <w:rPr>
          <w:b/>
          <w:bCs/>
        </w:rPr>
      </w:pPr>
      <w:r w:rsidRPr="004739FA">
        <w:rPr>
          <w:b/>
          <w:bCs/>
        </w:rPr>
        <w:t>Hliník: prudký obrat nálady na trhu, nikoli však úplná normalizace</w:t>
      </w:r>
    </w:p>
    <w:p w14:paraId="22C1E86F" w14:textId="77777777" w:rsidR="004739FA" w:rsidRPr="004739FA" w:rsidRDefault="004739FA" w:rsidP="004739FA">
      <w:r w:rsidRPr="004739FA">
        <w:t>Hliník představuje další příklad komodity, u níž se trh velmi rychle přesunul od oceňování rizika narušení dodávek k předpokladu jejich normalizace. Počáteční růst cen odrážel obavy z možných výpadků produkce na Blízkém východě, vyšších cen energií a omezené dostupnosti hutí. V poslední době značná část tohoto růstu odezněla, protože se investoři začali soustředit na možný návrat výrobních kapacit v zemích Perského zálivu, uvolňování zásob a možnost dalšího růstu nabídky z Číny a Indonésie.</w:t>
      </w:r>
    </w:p>
    <w:p w14:paraId="03FEB7E1" w14:textId="77777777" w:rsidR="004739FA" w:rsidRPr="004739FA" w:rsidRDefault="004739FA" w:rsidP="004739FA">
      <w:r w:rsidRPr="004739FA">
        <w:t>Podobně se sice objevují spekulace, že Čína by mohla překročit svůj limit výrobních kapacit hliníku, nedávný vývoj však naznačuje, že stávající regulatorní rámec zůstává, i když někteří výrobci mohou jeho hranice testovat v případě příznivých ekonomických podmínek. Trh zároveň zůstává opatrný i vůči možnosti, že Indonésie bude v budoucnu navyšovat produkci hliníku, přestože dostupnost elektrické energie představuje významné omezení. Objevily se rovněž zprávy, že část kapacit na tavení niklu je v Indonésii omezována, aby se uvolnila elektřina pro výrobu hliníku, což dále přispívá k pesimistické náladě investorů u této komodity.</w:t>
      </w:r>
    </w:p>
    <w:p w14:paraId="5DE0E623" w14:textId="77777777" w:rsidR="004739FA" w:rsidRPr="004739FA" w:rsidRDefault="004739FA" w:rsidP="004739FA">
      <w:r w:rsidRPr="004739FA">
        <w:t>Přestože ceny hliníku mohou v krátkodobém horizontu čelit tlaku, domníváme se, že celková situace na straně nabídky není tak uvolněná. Zdá se, že nálada investorů se změnila, což vytváří prostor pro selektivní investiční příležitosti, pokud se krátkodobý tlak ukáže být méně výrazný, než trh nyní očekává.</w:t>
      </w:r>
    </w:p>
    <w:p w14:paraId="17E9BDC9" w14:textId="77777777" w:rsidR="004739FA" w:rsidRPr="004739FA" w:rsidRDefault="004739FA" w:rsidP="004739FA">
      <w:pPr>
        <w:rPr>
          <w:b/>
          <w:bCs/>
        </w:rPr>
      </w:pPr>
      <w:r w:rsidRPr="004739FA">
        <w:rPr>
          <w:b/>
          <w:bCs/>
        </w:rPr>
        <w:t>Měď: strukturální poptávka zůstává silná, krátkodobý cenový vývoj je však méně jistý</w:t>
      </w:r>
    </w:p>
    <w:p w14:paraId="7D227F2A" w14:textId="77777777" w:rsidR="004739FA" w:rsidRPr="004739FA" w:rsidRDefault="004739FA" w:rsidP="004739FA">
      <w:r w:rsidRPr="004739FA">
        <w:t>Měď nadále představuje jednu z hlavních strukturálních investic díky své nezastupitelné úloze při dekarbonizaci, elektrifikaci a industrializaci. Dlouhodobý výhled zůstává podle našeho názoru příznivý, podporovaný robustní poptávkou a stále více omezenou nabídkou, přičemž ke konci tohoto desetiletí by se mohl deficit na trhu dále prohlubovat.</w:t>
      </w:r>
    </w:p>
    <w:p w14:paraId="2F756279" w14:textId="77777777" w:rsidR="004739FA" w:rsidRPr="004739FA" w:rsidRDefault="004739FA" w:rsidP="004739FA">
      <w:r w:rsidRPr="004739FA">
        <w:t xml:space="preserve">Krátkodobý vývoj cen je však méně předvídatelný. Nedávný růst cen mědi vedl některé průmyslové odběratele k nahrazování mědi levnějšími alternativami, zatímco americká celní politika způsobila další </w:t>
      </w:r>
      <w:r w:rsidRPr="004739FA">
        <w:lastRenderedPageBreak/>
        <w:t>cenové deformace prostřednictvím výrazného přílivu kovu do Spojených států a hromadění zásob před očekávanými politickými rozhodnutími.</w:t>
      </w:r>
    </w:p>
    <w:p w14:paraId="454F8B4E" w14:textId="77777777" w:rsidR="004739FA" w:rsidRPr="004739FA" w:rsidRDefault="004739FA" w:rsidP="004739FA">
      <w:r w:rsidRPr="004739FA">
        <w:t>Nabídková strana však nadále čelí řadě problémů, což podporuje příznivý dlouhodobý výhled. Nové těžební projekty se potýkají s delšími povolovacími procesy, přísnějšími environmentálními požadavky, omezeným přístupem k nalezištím, nutností získat souhlas místních komunit, postupným zhoršováním kvality ložisek i stále proměnlivějšími klimatickými podmínkami. Současně rostou výrobní náklady i kapitálová náročnost nových projektů, což zvyšuje hodnotu již existujících kvalitních aktiv a zdůrazňuje význam nízkonákladové produkce.</w:t>
      </w:r>
    </w:p>
    <w:p w14:paraId="17A016E4" w14:textId="4051A633" w:rsidR="004739FA" w:rsidRPr="004739FA" w:rsidRDefault="002E64B5" w:rsidP="004739FA">
      <w:r>
        <w:t>„</w:t>
      </w:r>
      <w:r w:rsidR="004739FA" w:rsidRPr="002E64B5">
        <w:rPr>
          <w:i/>
          <w:iCs/>
        </w:rPr>
        <w:t>V tomto prostředí nadále vidíme atraktivní dlouhodobé investiční příležitosti v akciích těžařů mědi, rozdíly v ocenění jednotlivých společností jsou však značné. Výběr konkrétních titulů proto zůstává klíčový. Ve Fidelity International se zaměřujeme na společnosti, které kombinují kvalitní aktiva, stabilní peněžní toky, disciplinovaný přístup k alokaci kapitálu a zároveň nabízejí expozici vůči strukturálně napjatému trhu s</w:t>
      </w:r>
      <w:r w:rsidRPr="002E64B5">
        <w:rPr>
          <w:i/>
          <w:iCs/>
        </w:rPr>
        <w:t> </w:t>
      </w:r>
      <w:r w:rsidR="004739FA" w:rsidRPr="002E64B5">
        <w:rPr>
          <w:i/>
          <w:iCs/>
        </w:rPr>
        <w:t>mědí</w:t>
      </w:r>
      <w:r w:rsidRPr="002E64B5">
        <w:rPr>
          <w:i/>
          <w:iCs/>
        </w:rPr>
        <w:t>,“</w:t>
      </w:r>
      <w:r>
        <w:t xml:space="preserve"> vysvětluje </w:t>
      </w:r>
      <w:r w:rsidRPr="00E71134">
        <w:t>Oliver Hextall</w:t>
      </w:r>
      <w:r>
        <w:t>.</w:t>
      </w:r>
    </w:p>
    <w:p w14:paraId="739ADD5A" w14:textId="77777777" w:rsidR="004739FA" w:rsidRPr="004739FA" w:rsidRDefault="004739FA" w:rsidP="004739FA">
      <w:pPr>
        <w:rPr>
          <w:b/>
          <w:bCs/>
        </w:rPr>
      </w:pPr>
      <w:r w:rsidRPr="004739FA">
        <w:rPr>
          <w:b/>
          <w:bCs/>
        </w:rPr>
        <w:t>Uran: slabší sentiment, býčí investiční příběh však zůstává zachován</w:t>
      </w:r>
    </w:p>
    <w:p w14:paraId="172AAC33" w14:textId="77777777" w:rsidR="004739FA" w:rsidRPr="004739FA" w:rsidRDefault="004739FA" w:rsidP="004739FA">
      <w:r w:rsidRPr="004739FA">
        <w:t>Nálada kolem uranu v poslední době oslabila především v důsledku menšího množství nových zpráv o této surovině a nižší pozornosti investorů po předchozím výrazném růstu. Tento vývoj však vnímáme spíše jako přestávku v dosavadním tempu růstu než jako změnu fundamentálních předpokladů.</w:t>
      </w:r>
    </w:p>
    <w:p w14:paraId="5B1CE695" w14:textId="77777777" w:rsidR="004739FA" w:rsidRPr="004739FA" w:rsidRDefault="004739FA" w:rsidP="004739FA">
      <w:r w:rsidRPr="004739FA">
        <w:t>Dlouhodobý investiční příběh zůstává přesvědčivý. Jaderná energetika je stále častěji uznávána jako spolehlivý zdroj pro výrobu nízkoemisní elektřiny, zejména v době rostoucí poptávky po elektřině a přehodnocování energetické bezpečnosti ze strany vlád. Klíčovým motorem poptávky zůstává Čína a Indie, ale podpora jaderné energetiky se postupně rozšiřuje i v západních zemích. Z dlouhodobého hlediska by dalším impulzem pro růst poptávky mohl být zájem největších technologických společností o spolehlivé zdroje energie s nízkými emisemi.</w:t>
      </w:r>
    </w:p>
    <w:p w14:paraId="7EC6DBF5" w14:textId="77777777" w:rsidR="004739FA" w:rsidRPr="004739FA" w:rsidRDefault="004739FA" w:rsidP="004739FA">
      <w:r w:rsidRPr="004739FA">
        <w:t>Nabídka ale zůstává omezená. Investice do nové těžby uranu byly po většinu uplynulého desetiletí utlumené, což ponechalo trhu jen omezenou flexibilitu v období obnovující se poptávky. Dlouhá doba potřebná pro rozvoj nových dolů znamená, že ani vyšší ceny se do růstu produkce nepromítají okamžitě. Potenciální nová nabídka navíc pravděpodobně nebude postačovat k plnému pokrytí očekávaného dlouhodobého růstu poptávky. To vytváří prostor pro další prohlubování nerovnováhy mezi nabídkou a poptávkou a podporuje náš pozitivní výhled.</w:t>
      </w:r>
    </w:p>
    <w:p w14:paraId="2DF1538B" w14:textId="77777777" w:rsidR="004739FA" w:rsidRPr="004739FA" w:rsidRDefault="004739FA" w:rsidP="004739FA">
      <w:pPr>
        <w:rPr>
          <w:b/>
          <w:bCs/>
        </w:rPr>
      </w:pPr>
      <w:r w:rsidRPr="004739FA">
        <w:rPr>
          <w:b/>
          <w:bCs/>
        </w:rPr>
        <w:t>Vzácné zeminy a lithium: strategický význam, selektivní přístup</w:t>
      </w:r>
    </w:p>
    <w:p w14:paraId="1E1ED9FC" w14:textId="77777777" w:rsidR="004739FA" w:rsidRPr="004739FA" w:rsidRDefault="004739FA" w:rsidP="004739FA">
      <w:r w:rsidRPr="004739FA">
        <w:t>Vzácné zeminy si i nadále zachovávají strategický význam, protože vlády stále více upřednostňují budování odolnějších dodavatelských řetězců mimo Čínu. V případě lithia jsme část expozice v našem portfoliu snížili. Jedním z významných nových faktorů je komerční uvedení sodíko-iontových baterií společností CATL, což je třeba zohlednit při hodnocení budoucí poptávky po lithiu.</w:t>
      </w:r>
    </w:p>
    <w:p w14:paraId="209D4DE6" w14:textId="60AE2D1B" w:rsidR="004739FA" w:rsidRPr="004739FA" w:rsidRDefault="002E64B5" w:rsidP="004739FA">
      <w:r w:rsidRPr="002E64B5">
        <w:rPr>
          <w:i/>
          <w:iCs/>
        </w:rPr>
        <w:t>„</w:t>
      </w:r>
      <w:r w:rsidR="004739FA" w:rsidRPr="002E64B5">
        <w:rPr>
          <w:i/>
          <w:iCs/>
        </w:rPr>
        <w:t xml:space="preserve">Rozšíření sodíko-iontových baterií je zatím v počáteční fázi a možné scénáře dalšího vývoje jsou velmi široké. Očekáváme, že sodíko-iontové baterie budou postupně získávat podíl především v oblasti stacionárních úložišť energie, zatímco míra jejich rozšíření v elektromobilech je podle našeho názoru zatím méně jistá. Předpokládali jsme, že sodík bude lithiu postupně ukrajovat podíl na trhu – očekávali </w:t>
      </w:r>
      <w:r w:rsidR="004739FA" w:rsidRPr="002E64B5">
        <w:rPr>
          <w:i/>
          <w:iCs/>
        </w:rPr>
        <w:lastRenderedPageBreak/>
        <w:t>jsme pouze, že k tomu dojde dříve. Jako u každé přelomové technologie proto pečlivě sledujeme nové skutečnosti a průběžně přehodnocujeme náš pohled</w:t>
      </w:r>
      <w:r>
        <w:t xml:space="preserve">,“ upřesňuje </w:t>
      </w:r>
      <w:r w:rsidRPr="00E71134">
        <w:t>Oliver Hextall</w:t>
      </w:r>
    </w:p>
    <w:p w14:paraId="4DC2309E" w14:textId="77777777" w:rsidR="004739FA" w:rsidRPr="004739FA" w:rsidRDefault="004739FA" w:rsidP="004739FA">
      <w:pPr>
        <w:rPr>
          <w:b/>
          <w:bCs/>
        </w:rPr>
      </w:pPr>
      <w:r w:rsidRPr="004739FA">
        <w:rPr>
          <w:b/>
          <w:bCs/>
        </w:rPr>
        <w:t>Drahé kovy: disciplinovaná expozice vůči zlatu a stříbru</w:t>
      </w:r>
    </w:p>
    <w:p w14:paraId="2DD002DA" w14:textId="77777777" w:rsidR="004739FA" w:rsidRPr="004739FA" w:rsidRDefault="004739FA" w:rsidP="004739FA">
      <w:r w:rsidRPr="004739FA">
        <w:t>Po období výrazného růstu ceny zlata a stříbra konsolidovaly, protože víc jestřábí očekávání ohledně vývoje úrokových sazeb utlumila cyklické investiční toky po předchozím období, kdy se ocenění drahých kovů dostalo na vyšší úrovně. Domníváme se však, že střednědobý investiční příběh zůstává zachován. Podporují jej strukturální faktory, jako jsou obavy o udržitelnost veřejných financí, znehodnocování měn, pokračující dedolarizace světové ekonomiky a silná poptávka ze strany centrálních bank.</w:t>
      </w:r>
    </w:p>
    <w:p w14:paraId="200A3CCA" w14:textId="77777777" w:rsidR="004739FA" w:rsidRPr="004739FA" w:rsidRDefault="004739FA" w:rsidP="004739FA">
      <w:r w:rsidRPr="004739FA">
        <w:t>I nadále se zaměřujeme především na příležitosti u konkrétních společností, zejména u nízkonákladových producentů s vysokým potenciálem tvorby volných peněžních toků. Ve srovnání s producenty průmyslových kovů bývá těžba zlata zpravidla méně kapitálově náročná, projekty mají kratší dobu realizace a v některých případech vyžadují i menší infrastrukturní investice. Expozice na kvalitní producenty drahých kovů proto představuje atraktivní způsob, jak zvýšit odolnost portfolia při zachování disciplinovaného přístupu k riziku rozvahy, kvalitě aktiv i ocenění. V případě stříbra jsme z dlouhodobého hlediska poměrně optimističtí, zároveň si však uvědomujeme, že po nedávné korekci zůstává rozpětí možných cenových scénářů stále velmi široké.</w:t>
      </w:r>
    </w:p>
    <w:p w14:paraId="43CAD1D2" w14:textId="77777777" w:rsidR="004739FA" w:rsidRPr="004739FA" w:rsidRDefault="004739FA" w:rsidP="004739FA">
      <w:pPr>
        <w:rPr>
          <w:b/>
          <w:bCs/>
        </w:rPr>
      </w:pPr>
      <w:r w:rsidRPr="004739FA">
        <w:rPr>
          <w:b/>
          <w:bCs/>
        </w:rPr>
        <w:t>Pohled za hranice krátkodobé volatility</w:t>
      </w:r>
    </w:p>
    <w:p w14:paraId="56E04738" w14:textId="7C33F8DB" w:rsidR="004739FA" w:rsidRPr="002E64B5" w:rsidRDefault="002E64B5" w:rsidP="004739FA">
      <w:pPr>
        <w:rPr>
          <w:i/>
          <w:iCs/>
        </w:rPr>
      </w:pPr>
      <w:r>
        <w:t>„</w:t>
      </w:r>
      <w:r w:rsidR="004739FA" w:rsidRPr="002E64B5">
        <w:rPr>
          <w:i/>
          <w:iCs/>
        </w:rPr>
        <w:t>Nedávná volatilita nezměnila naše přesvědčení o dlouhodobých investičních příležitostech v oblasti materiálů pro energetickou transformaci. Naopak vytvořila zajímavé příležitosti vyplývající z atraktivnějšího ocenění některých částí trhu. Pokud něco potvrdila, pak především význam investic do společností s kvalitními aktivy, odolnými rozvahami a disciplinovaným přístupem k alokaci kapitálu, při současném zachování selektivního přístupu k ocenění.</w:t>
      </w:r>
    </w:p>
    <w:p w14:paraId="751918B1" w14:textId="79297851" w:rsidR="004739FA" w:rsidRPr="004739FA" w:rsidRDefault="004739FA" w:rsidP="004739FA">
      <w:r w:rsidRPr="002E64B5">
        <w:rPr>
          <w:i/>
          <w:iCs/>
        </w:rPr>
        <w:t>Společným jmenovatelem biopaliv, hliníku, mědi, uranu i drahých kovů je skutečnost, že krátkodobý sentiment investorů se změnil, zatímco střednědobé fundamenty na straně nabídky i poptávky zůstávají příznivé. Portfolio navíc těží z diverzifikované expozice vůči oblastem, jako jsou zemědělství, průmyslové plyny nebo obalové materiály, což rozšiřuje investiční příležitosti a zároveň snižuje závislost na vývoji jednotlivých komoditních cyklů. Proto i nadále považujeme tržní výkyvy za příležitost k selektivnímu navyšování expozice v segmentech, kde fundamentální ukazatele zůstávají odolné, nabídka omezená a dlouhodobou poptávku podporují energetická transformace, energetická bezpečnost i pokračující industrializace</w:t>
      </w:r>
      <w:r w:rsidR="002E64B5" w:rsidRPr="002E64B5">
        <w:rPr>
          <w:i/>
          <w:iCs/>
        </w:rPr>
        <w:t xml:space="preserve">,“ </w:t>
      </w:r>
      <w:r w:rsidR="002E64B5">
        <w:t xml:space="preserve">uzavírá </w:t>
      </w:r>
      <w:r w:rsidR="002E64B5" w:rsidRPr="00E71134">
        <w:t>Oliver Hextall</w:t>
      </w:r>
      <w:r w:rsidR="002E64B5">
        <w:t>.</w:t>
      </w:r>
    </w:p>
    <w:p w14:paraId="5ED526F9" w14:textId="77777777" w:rsidR="004739FA" w:rsidRPr="004739FA" w:rsidRDefault="004739FA" w:rsidP="004739FA"/>
    <w:p w14:paraId="71340B30" w14:textId="77777777" w:rsidR="005B2594" w:rsidRDefault="005B2594" w:rsidP="005B2594"/>
    <w:p w14:paraId="3EE095C8" w14:textId="77777777" w:rsidR="00362096" w:rsidRPr="003B4C8C" w:rsidRDefault="00362096" w:rsidP="00362096">
      <w:r w:rsidRPr="003B4C8C">
        <w:rPr>
          <w:b/>
          <w:bCs/>
        </w:rPr>
        <w:t>Pro více informací kontaktujte:</w:t>
      </w:r>
    </w:p>
    <w:p w14:paraId="48DEF66B" w14:textId="77777777" w:rsidR="00362096" w:rsidRPr="003B4C8C" w:rsidRDefault="00362096" w:rsidP="00362096">
      <w:r w:rsidRPr="003B4C8C">
        <w:rPr>
          <w:b/>
          <w:bCs/>
        </w:rPr>
        <w:t>Eliška Krohová</w:t>
      </w:r>
    </w:p>
    <w:p w14:paraId="2CA03BC4" w14:textId="77777777" w:rsidR="00362096" w:rsidRPr="003B4C8C" w:rsidRDefault="00362096" w:rsidP="00362096">
      <w:r w:rsidRPr="003B4C8C">
        <w:rPr>
          <w:b/>
          <w:bCs/>
        </w:rPr>
        <w:t>Crest Communications, a.s.</w:t>
      </w:r>
    </w:p>
    <w:p w14:paraId="1A21A054" w14:textId="77777777" w:rsidR="00362096" w:rsidRPr="003B4C8C" w:rsidRDefault="00362096" w:rsidP="00362096">
      <w:r w:rsidRPr="003B4C8C">
        <w:t>Ostrovní 126/30</w:t>
      </w:r>
    </w:p>
    <w:p w14:paraId="17106CFE" w14:textId="77777777" w:rsidR="00362096" w:rsidRPr="003B4C8C" w:rsidRDefault="00362096" w:rsidP="00362096">
      <w:r w:rsidRPr="003B4C8C">
        <w:lastRenderedPageBreak/>
        <w:t>110 00 Praha 1</w:t>
      </w:r>
    </w:p>
    <w:p w14:paraId="6C3201C5" w14:textId="77777777" w:rsidR="00362096" w:rsidRPr="003B4C8C" w:rsidRDefault="00362096" w:rsidP="00362096">
      <w:r w:rsidRPr="003B4C8C">
        <w:t>gsm: + 420 720 406 659</w:t>
      </w:r>
    </w:p>
    <w:p w14:paraId="557AD6EE" w14:textId="77777777" w:rsidR="00362096" w:rsidRPr="003B4C8C" w:rsidRDefault="00362096" w:rsidP="00362096">
      <w:r w:rsidRPr="003B4C8C">
        <w:t>e-mail: </w:t>
      </w:r>
      <w:hyperlink r:id="rId12" w:tgtFrame="_blank" w:history="1">
        <w:r w:rsidRPr="003B4C8C">
          <w:rPr>
            <w:rStyle w:val="Hypertextovodkaz"/>
          </w:rPr>
          <w:t>eliska.krohova@crestcom.cz</w:t>
        </w:r>
      </w:hyperlink>
    </w:p>
    <w:p w14:paraId="649445BF" w14:textId="77777777" w:rsidR="00362096" w:rsidRPr="003B4C8C" w:rsidRDefault="00362096" w:rsidP="00362096">
      <w:r w:rsidRPr="003B4C8C">
        <w:rPr>
          <w:b/>
          <w:bCs/>
        </w:rPr>
        <w:t>Informace pro editory:</w:t>
      </w:r>
    </w:p>
    <w:p w14:paraId="27448FB3" w14:textId="77777777" w:rsidR="00362096" w:rsidRPr="003B4C8C" w:rsidRDefault="00362096" w:rsidP="00362096">
      <w:r w:rsidRPr="003B4C8C">
        <w:rPr>
          <w:b/>
          <w:bCs/>
        </w:rPr>
        <w:t>Fidelity International </w:t>
      </w:r>
      <w:r w:rsidRPr="003B4C8C">
        <w:t>byla založena v roce 1969 a poskytuje investiční služby a produkty soukromým a institucionálním investorům. Od ostatních globálních investičních společností se liší zejména formou vlastnictví. Jedná o čistě privátní, soukromou společnost vlastněnou přímo členy zakládající rodiny a managementem firmy. Společnost klade veliký důraz na provádění podrobných analýz, na jejichž základě pak identifikují pro klienty nejvýhodnější investiční příležitosti. Její speciální týmy investičních analytiků a odborníků působí ve všech hlavních finančních centrech světa – v Londýně, Frankfurtu, Paříži, Hongkongu, Tokiu, Singapuru, Soulu, Dillí, Bombaji a v Sydney. V současné době administruje aktiva ve výši 87 mld. USD (assets under administration) a globálně pro klienty investovala 290 mld. USD ve 25 zemích napříč Evropou, Asií, Tichomořím, středním Východem a jižní Amerikou. V České republice Fidelity působí od roku 2012 a mezi její klienty patří celá řada významných institucionálních i privátních klientů, všechny významné banky, pojišťovny, finanční společnosti a nezávislí finanční poradci, kteří koncovým investorům zprostředkovávají investiční fondy této globální investiční společnosti.</w:t>
      </w:r>
    </w:p>
    <w:p w14:paraId="0C497B4E" w14:textId="77777777" w:rsidR="00362096" w:rsidRPr="003B4C8C" w:rsidRDefault="00362096" w:rsidP="00362096">
      <w:r w:rsidRPr="003B4C8C">
        <w:rPr>
          <w:b/>
          <w:bCs/>
        </w:rPr>
        <w:t>Důležité upozornění</w:t>
      </w:r>
    </w:p>
    <w:p w14:paraId="7A0C186E" w14:textId="77777777" w:rsidR="00362096" w:rsidRPr="003B4C8C" w:rsidRDefault="00362096" w:rsidP="00362096">
      <w:r w:rsidRPr="003B4C8C">
        <w:t>Toto je propagační materiál. Tento dokument nesmí být bez předchozího souhlasu rozmnožován nebo rozšiřován.</w:t>
      </w:r>
    </w:p>
    <w:p w14:paraId="3D121D89" w14:textId="77777777" w:rsidR="00362096" w:rsidRPr="003B4C8C" w:rsidRDefault="00362096" w:rsidP="00362096">
      <w:r w:rsidRPr="003B4C8C">
        <w:t>Fidelity International poskytuje informace pouze o svých produktech a neposkytuje investiční poradenství na základě individuálních potřeb, jinak než konkrétně řádně stanovené oprávněnou společností při formální komunikaci s klientem.</w:t>
      </w:r>
    </w:p>
    <w:p w14:paraId="7B03E80F" w14:textId="77777777" w:rsidR="00362096" w:rsidRPr="003B4C8C" w:rsidRDefault="00362096" w:rsidP="00362096">
      <w:r w:rsidRPr="003B4C8C">
        <w:t>Jako Fidelity International je označována skupina společností, které tvoří globální organizaci správy investic poskytující informace o produktech a službách v určených jurisdikcích mimo Severní Ameriku. Toto písemné sdělení není směřováno k osobám se sídlem ve Spojených státech a takové osoby nesmí podle něj jednat. Je určeno pouze osobám bytem v takové v soudní příslušnosti, kde jsou příslušné fondy povoleny k distribuci nebo tam, kde není takové povolení vyžadováno.</w:t>
      </w:r>
    </w:p>
    <w:p w14:paraId="5FEA78BD" w14:textId="77777777" w:rsidR="00362096" w:rsidRPr="003B4C8C" w:rsidRDefault="00362096" w:rsidP="00362096">
      <w:r w:rsidRPr="003B4C8C">
        <w:t>Všechny názory představují stanoviska společnosti Fidelity, není-li uvedeno jinak. Fidelity, Fidelity International a logo Fidelity International a symbol měny F jsou všechno ochrannými známkami společnosti FIL Limited.</w:t>
      </w:r>
    </w:p>
    <w:p w14:paraId="4126DD13" w14:textId="77777777" w:rsidR="00362096" w:rsidRPr="003B4C8C" w:rsidRDefault="00362096" w:rsidP="00362096">
      <w:r w:rsidRPr="003B4C8C">
        <w:t>Tento dokument nepředstavuje distribuci, nabídku nebo výzvu k využití služeb investiční správy společnosti Fidelity, ani nabídku ke koupi, prodeji nebo výzvu k nabídce ke koupi nebo prodeji jakýchkoli cenných papírů v jakékoli jurisdikci nebo zemi, kde taková distribuce nebo nabídka není povolena či by byla v rozporu s místními zákony nebo předpisy.</w:t>
      </w:r>
    </w:p>
    <w:p w14:paraId="0AFC09C2" w14:textId="77777777" w:rsidR="00362096" w:rsidRPr="003B4C8C" w:rsidRDefault="00362096" w:rsidP="00362096">
      <w:r w:rsidRPr="003B4C8C">
        <w:t xml:space="preserve">Odkazy v tomto dokumentu na konkrétní cenné papíry nelze vykládat jako doporučení ke koupi nebo prodeji těchto cenných papírů, ale jsou uvedeny pouze pro ilustraci. Investoři by rovněž měli vzít na </w:t>
      </w:r>
      <w:r w:rsidRPr="003B4C8C">
        <w:lastRenderedPageBreak/>
        <w:t>vědomí, že vyjádřené názory již nemusí být aktuální a společnost Fidelity již mohla jednat. Průzkumy a analýzy použité v této dokumentaci shromažďuje společnost Fidelity pro své potřeby správce investic a je možné, že podle nich již bylo postupováno pro její vlastní účely. Tento materiál byl vytvořen společností Fidelity International.</w:t>
      </w:r>
    </w:p>
    <w:p w14:paraId="020F0184" w14:textId="77777777" w:rsidR="00362096" w:rsidRPr="003B4C8C" w:rsidRDefault="00362096" w:rsidP="00362096">
      <w:r w:rsidRPr="003B4C8C">
        <w:t>Minulá výkonnost není spolehlivým ukazatelem budoucích výsledků.</w:t>
      </w:r>
    </w:p>
    <w:p w14:paraId="14B9D49C" w14:textId="77777777" w:rsidR="00362096" w:rsidRPr="003B4C8C" w:rsidRDefault="00362096" w:rsidP="00362096">
      <w:r w:rsidRPr="003B4C8C">
        <w:t>Tento dokument může obsahovat materiály třetích stran, které jsou dodávány společnostmi, jež nejsou spojeny s žádným subjektem Fidelity (obsah třetích stran). Společnost Fidelity se nepodílela na přípravě, přijetí ani úpravě takových materiálů třetích stran a výslovně ani implicitně takový obsah neschvaluje ani nepodporovala.</w:t>
      </w:r>
    </w:p>
    <w:p w14:paraId="381E2C3B" w14:textId="77777777" w:rsidR="00362096" w:rsidRPr="003B4C8C" w:rsidRDefault="00362096" w:rsidP="00362096">
      <w:r w:rsidRPr="003B4C8C">
        <w:t>Údaje nejsou auditované. Odborníci provádějící průzkum zahrnují společníky a analytiky. Doporučujeme, abyste si před uskutečněním jakéhokoli investičního rozhodnutí opatřili podrobné informace. Investice by měly být prováděny na základě aktuálního prospektu (v angličtině a češtině) a dokumentu KIID (Klíčové informace pro investory) - dostupný v angličtině a češtině, které jsou dostupné spolu s výročními a pololetními zprávami zdarma na </w:t>
      </w:r>
      <w:hyperlink r:id="rId13" w:tgtFrame="_blank" w:history="1">
        <w:r w:rsidRPr="003B4C8C">
          <w:rPr>
            <w:rStyle w:val="Hypertextovodkaz"/>
          </w:rPr>
          <w:t>https://www.fidelityinternational.com</w:t>
        </w:r>
      </w:hyperlink>
      <w:r w:rsidRPr="003B4C8C">
        <w:t> nebo od našich distributořů a našeho evropského Centra služeb v Lucembursku, sídlící na adrese FIL (Luxembourg) S.A. 2a, rue Albert Borschette BP 2174 L-1021 Luxembourg.</w:t>
      </w:r>
    </w:p>
    <w:p w14:paraId="7893AFD1" w14:textId="77777777" w:rsidR="00362096" w:rsidRPr="003B4C8C" w:rsidRDefault="00362096" w:rsidP="00362096">
      <w:r w:rsidRPr="003B4C8C">
        <w:t>Fidelity Funds "FF" je otevřená investiční společnost (SKIPCP) sídlící v Lucembursku, která disponuje akciemi různých tříd. Společnost FIL Investment Management (Luxembourg) S.A. si vyhrazuje právo ukončit nabízení podfondu a jeho podílových jednotek na trhu v souladu s článkem 93 písm. a) směrnice 2009/65/ES a článkem 32 písm. a) směrnice 2011/61/EU. Toto ukončení bude předem oznámeno v Lucembursku.Obchodní známky třetích stran, autorská práva a další práva duševního vlastnictví zůstávají majetkem jejich konkrétních vlastníků.</w:t>
      </w:r>
    </w:p>
    <w:p w14:paraId="54CCE3B4" w14:textId="77777777" w:rsidR="00362096" w:rsidRPr="003B4C8C" w:rsidRDefault="00362096" w:rsidP="00362096">
      <w:r w:rsidRPr="003B4C8C">
        <w:t>Investoři a potenciální investoři mohou získat informace o svých právech ve spojení se stížnostmi a soudními spory na tomto odkazu: </w:t>
      </w:r>
      <w:hyperlink r:id="rId14" w:tgtFrame="_blank" w:history="1">
        <w:r w:rsidRPr="003B4C8C">
          <w:rPr>
            <w:rStyle w:val="Hypertextovodkaz"/>
          </w:rPr>
          <w:t>https://www.fidelity.cz</w:t>
        </w:r>
      </w:hyperlink>
      <w:r w:rsidRPr="003B4C8C">
        <w:t> (v češtině).</w:t>
      </w:r>
    </w:p>
    <w:p w14:paraId="5348571E" w14:textId="77777777" w:rsidR="00362096" w:rsidRDefault="00362096" w:rsidP="00362096"/>
    <w:p w14:paraId="032496E3" w14:textId="3F7A0B6B" w:rsidR="00D20058" w:rsidRDefault="003B2330" w:rsidP="003B2330">
      <w:pPr>
        <w:spacing w:after="160" w:line="278" w:lineRule="auto"/>
      </w:pPr>
      <w:r w:rsidRPr="003B2330">
        <w:rPr>
          <w:lang w:val="de-AT"/>
        </w:rPr>
        <w:t>MKAT13984</w:t>
      </w:r>
    </w:p>
    <w:sectPr w:rsidR="00D20058" w:rsidSect="00F50497">
      <w:headerReference w:type="default" r:id="rId15"/>
      <w:footerReference w:type="default" r:id="rId16"/>
      <w:headerReference w:type="first" r:id="rId17"/>
      <w:pgSz w:w="11906" w:h="16838" w:code="9"/>
      <w:pgMar w:top="2268" w:right="1418" w:bottom="426" w:left="1418" w:header="56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0C7F" w14:textId="77777777" w:rsidR="0047134E" w:rsidRDefault="0047134E">
      <w:r>
        <w:separator/>
      </w:r>
    </w:p>
  </w:endnote>
  <w:endnote w:type="continuationSeparator" w:id="0">
    <w:p w14:paraId="17B78F72" w14:textId="77777777" w:rsidR="0047134E" w:rsidRDefault="0047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F1AF" w14:textId="77777777" w:rsidR="001D1343" w:rsidRPr="00585CC6" w:rsidRDefault="001D1343" w:rsidP="00585CC6">
    <w:pPr>
      <w:pStyle w:val="F-zpat"/>
      <w:jc w:val="left"/>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C6DAD" w14:textId="77777777" w:rsidR="0047134E" w:rsidRDefault="0047134E">
      <w:r>
        <w:separator/>
      </w:r>
    </w:p>
  </w:footnote>
  <w:footnote w:type="continuationSeparator" w:id="0">
    <w:p w14:paraId="7D88077D" w14:textId="77777777" w:rsidR="0047134E" w:rsidRDefault="0047134E">
      <w:r>
        <w:continuationSeparator/>
      </w:r>
    </w:p>
  </w:footnote>
  <w:footnote w:type="continuationNotice" w:id="1">
    <w:p w14:paraId="5F82DC82" w14:textId="77777777" w:rsidR="0047134E" w:rsidRDefault="004713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DA8C" w14:textId="77777777" w:rsidR="001D1343" w:rsidRDefault="001D1343" w:rsidP="00585CC6">
    <w:pPr>
      <w:pStyle w:val="F-zpa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A25A" w14:textId="77777777" w:rsidR="001D1343" w:rsidRDefault="0018797C">
    <w:pPr>
      <w:pStyle w:val="Zhlav"/>
    </w:pPr>
    <w:r>
      <w:rPr>
        <w:noProof/>
      </w:rPr>
      <w:drawing>
        <wp:anchor distT="0" distB="0" distL="114300" distR="114300" simplePos="0" relativeHeight="251657728" behindDoc="0" locked="0" layoutInCell="1" allowOverlap="1" wp14:anchorId="0211B2D4" wp14:editId="7C062988">
          <wp:simplePos x="0" y="0"/>
          <wp:positionH relativeFrom="column">
            <wp:posOffset>4181475</wp:posOffset>
          </wp:positionH>
          <wp:positionV relativeFrom="paragraph">
            <wp:posOffset>255270</wp:posOffset>
          </wp:positionV>
          <wp:extent cx="1581150" cy="485775"/>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85775"/>
                  </a:xfrm>
                  <a:prstGeom prst="rect">
                    <a:avLst/>
                  </a:prstGeom>
                  <a:noFill/>
                </pic:spPr>
              </pic:pic>
            </a:graphicData>
          </a:graphic>
        </wp:anchor>
      </w:drawing>
    </w:r>
  </w:p>
  <w:p w14:paraId="41DB1735" w14:textId="77777777" w:rsidR="001D1343" w:rsidRDefault="001D1343">
    <w:pPr>
      <w:pStyle w:val="Zhlav"/>
    </w:pPr>
  </w:p>
  <w:p w14:paraId="0D163528" w14:textId="77777777" w:rsidR="001D1343" w:rsidRDefault="001D134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A0F82A"/>
    <w:lvl w:ilvl="0">
      <w:start w:val="1"/>
      <w:numFmt w:val="decimal"/>
      <w:pStyle w:val="slovanseznam5"/>
      <w:lvlText w:val="%1."/>
      <w:lvlJc w:val="left"/>
      <w:pPr>
        <w:tabs>
          <w:tab w:val="num" w:pos="1983"/>
        </w:tabs>
        <w:ind w:left="1983" w:hanging="360"/>
      </w:pPr>
    </w:lvl>
  </w:abstractNum>
  <w:abstractNum w:abstractNumId="1" w15:restartNumberingAfterBreak="0">
    <w:nsid w:val="FFFFFF7D"/>
    <w:multiLevelType w:val="singleLevel"/>
    <w:tmpl w:val="4B821240"/>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D1A8A7E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BA8621D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0E647C2A"/>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92D47A"/>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65CF2"/>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E6F3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4A6936"/>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C0BC8210"/>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6910746"/>
    <w:multiLevelType w:val="multilevel"/>
    <w:tmpl w:val="04050023"/>
    <w:styleLink w:val="lnekoddl"/>
    <w:lvl w:ilvl="0">
      <w:start w:val="1"/>
      <w:numFmt w:val="upperRoman"/>
      <w:lvlText w:val="Článek %1."/>
      <w:lvlJc w:val="left"/>
      <w:pPr>
        <w:tabs>
          <w:tab w:val="num" w:pos="1080"/>
        </w:tabs>
        <w:ind w:left="0" w:firstLine="0"/>
      </w:pPr>
    </w:lvl>
    <w:lvl w:ilvl="1">
      <w:start w:val="1"/>
      <w:numFmt w:val="decimalZero"/>
      <w:isLgl/>
      <w:lvlText w:val="Oddíl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A6D266C"/>
    <w:multiLevelType w:val="multilevel"/>
    <w:tmpl w:val="66487184"/>
    <w:lvl w:ilvl="0">
      <w:start w:val="1"/>
      <w:numFmt w:val="bullet"/>
      <w:pStyle w:val="F3-odrka"/>
      <w:lvlText w:val=""/>
      <w:lvlJc w:val="left"/>
      <w:pPr>
        <w:tabs>
          <w:tab w:val="num" w:pos="794"/>
        </w:tabs>
        <w:ind w:left="794" w:hanging="454"/>
      </w:pPr>
      <w:rPr>
        <w:rFonts w:ascii="Symbol" w:hAnsi="Symbol" w:hint="default"/>
        <w:color w:val="auto"/>
      </w:rPr>
    </w:lvl>
    <w:lvl w:ilvl="1">
      <w:start w:val="1"/>
      <w:numFmt w:val="bullet"/>
      <w:lvlText w:val=""/>
      <w:lvlJc w:val="left"/>
      <w:pPr>
        <w:tabs>
          <w:tab w:val="num" w:pos="1247"/>
        </w:tabs>
        <w:ind w:left="1247" w:hanging="453"/>
      </w:pPr>
      <w:rPr>
        <w:rFonts w:ascii="Symbol" w:hAnsi="Symbol" w:hint="default"/>
        <w:color w:val="auto"/>
      </w:rPr>
    </w:lvl>
    <w:lvl w:ilvl="2">
      <w:start w:val="1"/>
      <w:numFmt w:val="bullet"/>
      <w:lvlText w:val=""/>
      <w:lvlJc w:val="left"/>
      <w:pPr>
        <w:tabs>
          <w:tab w:val="num" w:pos="1701"/>
        </w:tabs>
        <w:ind w:left="1701" w:hanging="454"/>
      </w:pPr>
      <w:rPr>
        <w:rFonts w:ascii="Symbol" w:hAnsi="Symbol" w:hint="default"/>
        <w:color w:val="auto"/>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64877BA"/>
    <w:multiLevelType w:val="multilevel"/>
    <w:tmpl w:val="05CCA26C"/>
    <w:lvl w:ilvl="0">
      <w:start w:val="1"/>
      <w:numFmt w:val="decimal"/>
      <w:lvlRestart w:val="0"/>
      <w:pStyle w:val="F4-slovn"/>
      <w:lvlText w:val="%1."/>
      <w:lvlJc w:val="left"/>
      <w:pPr>
        <w:tabs>
          <w:tab w:val="num" w:pos="794"/>
        </w:tabs>
        <w:ind w:left="794" w:hanging="454"/>
      </w:pPr>
      <w:rPr>
        <w:rFonts w:hint="default"/>
      </w:rPr>
    </w:lvl>
    <w:lvl w:ilvl="1">
      <w:start w:val="1"/>
      <w:numFmt w:val="decimal"/>
      <w:lvlText w:val="%1.%2"/>
      <w:lvlJc w:val="left"/>
      <w:pPr>
        <w:tabs>
          <w:tab w:val="num" w:pos="777"/>
        </w:tabs>
        <w:ind w:left="777" w:hanging="794"/>
      </w:pPr>
      <w:rPr>
        <w:rFonts w:hint="default"/>
      </w:rPr>
    </w:lvl>
    <w:lvl w:ilvl="2">
      <w:start w:val="1"/>
      <w:numFmt w:val="decimal"/>
      <w:lvlText w:val="%1.%2.%3"/>
      <w:lvlJc w:val="left"/>
      <w:pPr>
        <w:tabs>
          <w:tab w:val="num" w:pos="777"/>
        </w:tabs>
        <w:ind w:left="777" w:hanging="794"/>
      </w:pPr>
      <w:rPr>
        <w:rFonts w:hint="default"/>
      </w:rPr>
    </w:lvl>
    <w:lvl w:ilvl="3">
      <w:start w:val="1"/>
      <w:numFmt w:val="decimal"/>
      <w:lvlText w:val="%1.%2.%3.%4"/>
      <w:lvlJc w:val="left"/>
      <w:pPr>
        <w:tabs>
          <w:tab w:val="num" w:pos="777"/>
        </w:tabs>
        <w:ind w:left="777" w:hanging="794"/>
      </w:pPr>
      <w:rPr>
        <w:rFonts w:hint="default"/>
      </w:rPr>
    </w:lvl>
    <w:lvl w:ilvl="4">
      <w:start w:val="1"/>
      <w:numFmt w:val="decimal"/>
      <w:lvlText w:val="%1.%2.%3.%4.%5"/>
      <w:lvlJc w:val="left"/>
      <w:pPr>
        <w:tabs>
          <w:tab w:val="num" w:pos="991"/>
        </w:tabs>
        <w:ind w:left="991" w:hanging="1008"/>
      </w:pPr>
      <w:rPr>
        <w:rFonts w:hint="default"/>
      </w:rPr>
    </w:lvl>
    <w:lvl w:ilvl="5">
      <w:start w:val="1"/>
      <w:numFmt w:val="decimal"/>
      <w:lvlText w:val="%1.%2.%3.%4.%5.%6"/>
      <w:lvlJc w:val="left"/>
      <w:pPr>
        <w:tabs>
          <w:tab w:val="num" w:pos="1135"/>
        </w:tabs>
        <w:ind w:left="1135" w:hanging="1152"/>
      </w:pPr>
      <w:rPr>
        <w:rFonts w:hint="default"/>
      </w:rPr>
    </w:lvl>
    <w:lvl w:ilvl="6">
      <w:start w:val="1"/>
      <w:numFmt w:val="decimal"/>
      <w:lvlText w:val="%1.%2.%3.%4.%5.%6.%7"/>
      <w:lvlJc w:val="left"/>
      <w:pPr>
        <w:tabs>
          <w:tab w:val="num" w:pos="1279"/>
        </w:tabs>
        <w:ind w:left="1279" w:hanging="1296"/>
      </w:pPr>
      <w:rPr>
        <w:rFonts w:hint="default"/>
      </w:rPr>
    </w:lvl>
    <w:lvl w:ilvl="7">
      <w:start w:val="1"/>
      <w:numFmt w:val="decimal"/>
      <w:lvlText w:val="%1.%2.%3.%4.%5.%6.%7.%8"/>
      <w:lvlJc w:val="left"/>
      <w:pPr>
        <w:tabs>
          <w:tab w:val="num" w:pos="1423"/>
        </w:tabs>
        <w:ind w:left="1423" w:hanging="1440"/>
      </w:pPr>
      <w:rPr>
        <w:rFonts w:hint="default"/>
      </w:rPr>
    </w:lvl>
    <w:lvl w:ilvl="8">
      <w:start w:val="1"/>
      <w:numFmt w:val="decimal"/>
      <w:lvlText w:val="%1.%2.%3.%4.%5.%6.%7.%8.%9"/>
      <w:lvlJc w:val="left"/>
      <w:pPr>
        <w:tabs>
          <w:tab w:val="num" w:pos="1567"/>
        </w:tabs>
        <w:ind w:left="1567" w:hanging="1584"/>
      </w:pPr>
      <w:rPr>
        <w:rFonts w:hint="default"/>
      </w:rPr>
    </w:lvl>
  </w:abstractNum>
  <w:abstractNum w:abstractNumId="13" w15:restartNumberingAfterBreak="0">
    <w:nsid w:val="17024E5B"/>
    <w:multiLevelType w:val="hybridMultilevel"/>
    <w:tmpl w:val="B214151A"/>
    <w:lvl w:ilvl="0" w:tplc="48789186">
      <w:start w:val="1"/>
      <w:numFmt w:val="none"/>
      <w:pStyle w:val="F6-kol"/>
      <w:lvlText w:val="!! ÚKOL !!"/>
      <w:lvlJc w:val="left"/>
      <w:pPr>
        <w:tabs>
          <w:tab w:val="num" w:pos="0"/>
        </w:tabs>
        <w:ind w:left="0" w:firstLine="0"/>
      </w:pPr>
      <w:rPr>
        <w:rFonts w:hint="default"/>
        <w:b/>
        <w:i w:val="0"/>
        <w:color w:val="0000FF"/>
      </w:rPr>
    </w:lvl>
    <w:lvl w:ilvl="1" w:tplc="376EF75A">
      <w:start w:val="1"/>
      <w:numFmt w:val="lowerLetter"/>
      <w:lvlText w:val="%2)"/>
      <w:lvlJc w:val="left"/>
      <w:pPr>
        <w:tabs>
          <w:tab w:val="num" w:pos="743"/>
        </w:tabs>
        <w:ind w:left="743" w:hanging="363"/>
      </w:pPr>
      <w:rPr>
        <w:rFonts w:hint="default"/>
        <w:b/>
        <w:i w:val="0"/>
        <w:color w:val="0000FF"/>
      </w:rPr>
    </w:lvl>
    <w:lvl w:ilvl="2" w:tplc="EB0CEBFC" w:tentative="1">
      <w:start w:val="1"/>
      <w:numFmt w:val="lowerRoman"/>
      <w:lvlText w:val="%3."/>
      <w:lvlJc w:val="right"/>
      <w:pPr>
        <w:tabs>
          <w:tab w:val="num" w:pos="2160"/>
        </w:tabs>
        <w:ind w:left="2160" w:hanging="180"/>
      </w:pPr>
    </w:lvl>
    <w:lvl w:ilvl="3" w:tplc="C90EC44E" w:tentative="1">
      <w:start w:val="1"/>
      <w:numFmt w:val="decimal"/>
      <w:lvlText w:val="%4."/>
      <w:lvlJc w:val="left"/>
      <w:pPr>
        <w:tabs>
          <w:tab w:val="num" w:pos="2880"/>
        </w:tabs>
        <w:ind w:left="2880" w:hanging="360"/>
      </w:pPr>
    </w:lvl>
    <w:lvl w:ilvl="4" w:tplc="64E075F6" w:tentative="1">
      <w:start w:val="1"/>
      <w:numFmt w:val="lowerLetter"/>
      <w:lvlText w:val="%5."/>
      <w:lvlJc w:val="left"/>
      <w:pPr>
        <w:tabs>
          <w:tab w:val="num" w:pos="3600"/>
        </w:tabs>
        <w:ind w:left="3600" w:hanging="360"/>
      </w:pPr>
    </w:lvl>
    <w:lvl w:ilvl="5" w:tplc="DAF6A924" w:tentative="1">
      <w:start w:val="1"/>
      <w:numFmt w:val="lowerRoman"/>
      <w:lvlText w:val="%6."/>
      <w:lvlJc w:val="right"/>
      <w:pPr>
        <w:tabs>
          <w:tab w:val="num" w:pos="4320"/>
        </w:tabs>
        <w:ind w:left="4320" w:hanging="180"/>
      </w:pPr>
    </w:lvl>
    <w:lvl w:ilvl="6" w:tplc="53CAEDF8" w:tentative="1">
      <w:start w:val="1"/>
      <w:numFmt w:val="decimal"/>
      <w:lvlText w:val="%7."/>
      <w:lvlJc w:val="left"/>
      <w:pPr>
        <w:tabs>
          <w:tab w:val="num" w:pos="5040"/>
        </w:tabs>
        <w:ind w:left="5040" w:hanging="360"/>
      </w:pPr>
    </w:lvl>
    <w:lvl w:ilvl="7" w:tplc="DDE8AF34" w:tentative="1">
      <w:start w:val="1"/>
      <w:numFmt w:val="lowerLetter"/>
      <w:lvlText w:val="%8."/>
      <w:lvlJc w:val="left"/>
      <w:pPr>
        <w:tabs>
          <w:tab w:val="num" w:pos="5760"/>
        </w:tabs>
        <w:ind w:left="5760" w:hanging="360"/>
      </w:pPr>
    </w:lvl>
    <w:lvl w:ilvl="8" w:tplc="EAD46C3A" w:tentative="1">
      <w:start w:val="1"/>
      <w:numFmt w:val="lowerRoman"/>
      <w:lvlText w:val="%9."/>
      <w:lvlJc w:val="right"/>
      <w:pPr>
        <w:tabs>
          <w:tab w:val="num" w:pos="6480"/>
        </w:tabs>
        <w:ind w:left="6480" w:hanging="180"/>
      </w:pPr>
    </w:lvl>
  </w:abstractNum>
  <w:abstractNum w:abstractNumId="14" w15:restartNumberingAfterBreak="0">
    <w:nsid w:val="1BC93158"/>
    <w:multiLevelType w:val="multilevel"/>
    <w:tmpl w:val="4ED8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6A09F1"/>
    <w:multiLevelType w:val="multilevel"/>
    <w:tmpl w:val="9EF81F8C"/>
    <w:lvl w:ilvl="0">
      <w:start w:val="1"/>
      <w:numFmt w:val="decimal"/>
      <w:pStyle w:val="F10-nadpis1"/>
      <w:lvlText w:val="%1"/>
      <w:lvlJc w:val="left"/>
      <w:pPr>
        <w:tabs>
          <w:tab w:val="num" w:pos="794"/>
        </w:tabs>
        <w:ind w:left="794" w:hanging="794"/>
      </w:pPr>
      <w:rPr>
        <w:rFonts w:hint="default"/>
      </w:rPr>
    </w:lvl>
    <w:lvl w:ilvl="1">
      <w:start w:val="1"/>
      <w:numFmt w:val="decimal"/>
      <w:pStyle w:val="F9-nadpis2"/>
      <w:lvlText w:val="%1.%2"/>
      <w:lvlJc w:val="left"/>
      <w:pPr>
        <w:tabs>
          <w:tab w:val="num" w:pos="794"/>
        </w:tabs>
        <w:ind w:left="794" w:hanging="794"/>
      </w:pPr>
      <w:rPr>
        <w:rFonts w:hint="default"/>
      </w:rPr>
    </w:lvl>
    <w:lvl w:ilvl="2">
      <w:start w:val="1"/>
      <w:numFmt w:val="decimal"/>
      <w:pStyle w:val="F8-nadpis3"/>
      <w:lvlText w:val="%1.%2.%3"/>
      <w:lvlJc w:val="left"/>
      <w:pPr>
        <w:tabs>
          <w:tab w:val="num" w:pos="794"/>
        </w:tabs>
        <w:ind w:left="794" w:hanging="794"/>
      </w:pPr>
      <w:rPr>
        <w:rFonts w:hint="default"/>
      </w:rPr>
    </w:lvl>
    <w:lvl w:ilvl="3">
      <w:start w:val="1"/>
      <w:numFmt w:val="decimal"/>
      <w:pStyle w:val="F-nadpis4"/>
      <w:lvlText w:val="%1.%2.%3.%4"/>
      <w:lvlJc w:val="left"/>
      <w:pPr>
        <w:tabs>
          <w:tab w:val="num" w:pos="794"/>
        </w:tabs>
        <w:ind w:left="794" w:hanging="79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6" w15:restartNumberingAfterBreak="0">
    <w:nsid w:val="28601A32"/>
    <w:multiLevelType w:val="multilevel"/>
    <w:tmpl w:val="92C4D32A"/>
    <w:lvl w:ilvl="0">
      <w:start w:val="1"/>
      <w:numFmt w:val="decimal"/>
      <w:lvlText w:val="%1"/>
      <w:lvlJc w:val="left"/>
      <w:pPr>
        <w:tabs>
          <w:tab w:val="num" w:pos="357"/>
        </w:tabs>
        <w:ind w:left="794" w:hanging="794"/>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AD9061E"/>
    <w:multiLevelType w:val="multilevel"/>
    <w:tmpl w:val="1B6C611C"/>
    <w:lvl w:ilvl="0">
      <w:start w:val="1"/>
      <w:numFmt w:val="decimal"/>
      <w:lvlText w:val="%1"/>
      <w:lvlJc w:val="left"/>
      <w:pPr>
        <w:tabs>
          <w:tab w:val="num" w:pos="357"/>
        </w:tabs>
        <w:ind w:left="794" w:hanging="794"/>
      </w:pPr>
      <w:rPr>
        <w:rFonts w:hint="default"/>
      </w:rPr>
    </w:lvl>
    <w:lvl w:ilvl="1">
      <w:start w:val="1"/>
      <w:numFmt w:val="decimal"/>
      <w:lvlText w:val="%1.%2"/>
      <w:lvlJc w:val="left"/>
      <w:pPr>
        <w:tabs>
          <w:tab w:val="num" w:pos="357"/>
        </w:tabs>
        <w:ind w:left="794" w:hanging="794"/>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AF70029"/>
    <w:multiLevelType w:val="multilevel"/>
    <w:tmpl w:val="BE3A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7E08D3"/>
    <w:multiLevelType w:val="multilevel"/>
    <w:tmpl w:val="8E08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C4CCB"/>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ADD1676"/>
    <w:multiLevelType w:val="multilevel"/>
    <w:tmpl w:val="648480A0"/>
    <w:lvl w:ilvl="0">
      <w:start w:val="1"/>
      <w:numFmt w:val="lowerLetter"/>
      <w:lvlRestart w:val="0"/>
      <w:pStyle w:val="F5-psmena"/>
      <w:lvlText w:val="%1)"/>
      <w:lvlJc w:val="left"/>
      <w:pPr>
        <w:tabs>
          <w:tab w:val="num" w:pos="794"/>
        </w:tabs>
        <w:ind w:left="794" w:hanging="454"/>
      </w:pPr>
      <w:rPr>
        <w:rFonts w:hint="default"/>
      </w:rPr>
    </w:lvl>
    <w:lvl w:ilvl="1">
      <w:start w:val="1"/>
      <w:numFmt w:val="decimal"/>
      <w:lvlText w:val="%1.%2"/>
      <w:lvlJc w:val="left"/>
      <w:pPr>
        <w:tabs>
          <w:tab w:val="num" w:pos="1685"/>
        </w:tabs>
        <w:ind w:left="1685" w:hanging="794"/>
      </w:pPr>
      <w:rPr>
        <w:rFonts w:hint="default"/>
      </w:rPr>
    </w:lvl>
    <w:lvl w:ilvl="2">
      <w:start w:val="1"/>
      <w:numFmt w:val="decimal"/>
      <w:lvlText w:val="%1.%2.%3"/>
      <w:lvlJc w:val="left"/>
      <w:pPr>
        <w:tabs>
          <w:tab w:val="num" w:pos="1685"/>
        </w:tabs>
        <w:ind w:left="1685" w:hanging="794"/>
      </w:pPr>
      <w:rPr>
        <w:rFonts w:hint="default"/>
      </w:rPr>
    </w:lvl>
    <w:lvl w:ilvl="3">
      <w:start w:val="1"/>
      <w:numFmt w:val="decimal"/>
      <w:lvlText w:val="%1.%2.%3.%4"/>
      <w:lvlJc w:val="left"/>
      <w:pPr>
        <w:tabs>
          <w:tab w:val="num" w:pos="1685"/>
        </w:tabs>
        <w:ind w:left="1685" w:hanging="794"/>
      </w:pPr>
      <w:rPr>
        <w:rFonts w:hint="default"/>
      </w:rPr>
    </w:lvl>
    <w:lvl w:ilvl="4">
      <w:start w:val="1"/>
      <w:numFmt w:val="decimal"/>
      <w:lvlText w:val="%1.%2.%3.%4.%5"/>
      <w:lvlJc w:val="left"/>
      <w:pPr>
        <w:tabs>
          <w:tab w:val="num" w:pos="1899"/>
        </w:tabs>
        <w:ind w:left="1899" w:hanging="1008"/>
      </w:pPr>
      <w:rPr>
        <w:rFonts w:hint="default"/>
      </w:rPr>
    </w:lvl>
    <w:lvl w:ilvl="5">
      <w:start w:val="1"/>
      <w:numFmt w:val="decimal"/>
      <w:lvlText w:val="%1.%2.%3.%4.%5.%6"/>
      <w:lvlJc w:val="left"/>
      <w:pPr>
        <w:tabs>
          <w:tab w:val="num" w:pos="2043"/>
        </w:tabs>
        <w:ind w:left="2043" w:hanging="1152"/>
      </w:pPr>
      <w:rPr>
        <w:rFonts w:hint="default"/>
      </w:rPr>
    </w:lvl>
    <w:lvl w:ilvl="6">
      <w:start w:val="1"/>
      <w:numFmt w:val="decimal"/>
      <w:lvlText w:val="%1.%2.%3.%4.%5.%6.%7"/>
      <w:lvlJc w:val="left"/>
      <w:pPr>
        <w:tabs>
          <w:tab w:val="num" w:pos="2187"/>
        </w:tabs>
        <w:ind w:left="2187" w:hanging="1296"/>
      </w:pPr>
      <w:rPr>
        <w:rFonts w:hint="default"/>
      </w:rPr>
    </w:lvl>
    <w:lvl w:ilvl="7">
      <w:start w:val="1"/>
      <w:numFmt w:val="decimal"/>
      <w:lvlText w:val="%1.%2.%3.%4.%5.%6.%7.%8"/>
      <w:lvlJc w:val="left"/>
      <w:pPr>
        <w:tabs>
          <w:tab w:val="num" w:pos="2331"/>
        </w:tabs>
        <w:ind w:left="2331" w:hanging="1440"/>
      </w:pPr>
      <w:rPr>
        <w:rFonts w:hint="default"/>
      </w:rPr>
    </w:lvl>
    <w:lvl w:ilvl="8">
      <w:start w:val="1"/>
      <w:numFmt w:val="decimal"/>
      <w:lvlText w:val="%1.%2.%3.%4.%5.%6.%7.%8.%9"/>
      <w:lvlJc w:val="left"/>
      <w:pPr>
        <w:tabs>
          <w:tab w:val="num" w:pos="2475"/>
        </w:tabs>
        <w:ind w:left="2475" w:hanging="1584"/>
      </w:pPr>
      <w:rPr>
        <w:rFonts w:hint="default"/>
      </w:rPr>
    </w:lvl>
  </w:abstractNum>
  <w:abstractNum w:abstractNumId="22" w15:restartNumberingAfterBreak="0">
    <w:nsid w:val="5FC015B7"/>
    <w:multiLevelType w:val="hybridMultilevel"/>
    <w:tmpl w:val="D40EC4D8"/>
    <w:lvl w:ilvl="0" w:tplc="437E8B58">
      <w:start w:val="1"/>
      <w:numFmt w:val="none"/>
      <w:pStyle w:val="F7-chyba"/>
      <w:lvlText w:val="!! CHYBA !!"/>
      <w:lvlJc w:val="left"/>
      <w:pPr>
        <w:tabs>
          <w:tab w:val="num" w:pos="0"/>
        </w:tabs>
        <w:ind w:left="0" w:firstLine="0"/>
      </w:pPr>
      <w:rPr>
        <w:rFonts w:hint="default"/>
        <w:b/>
        <w:i w:val="0"/>
        <w:color w:val="FF0000"/>
      </w:rPr>
    </w:lvl>
    <w:lvl w:ilvl="1" w:tplc="3B36E4D8">
      <w:start w:val="1"/>
      <w:numFmt w:val="lowerLetter"/>
      <w:lvlText w:val="%2."/>
      <w:lvlJc w:val="left"/>
      <w:pPr>
        <w:tabs>
          <w:tab w:val="num" w:pos="1440"/>
        </w:tabs>
        <w:ind w:left="1440" w:hanging="360"/>
      </w:pPr>
    </w:lvl>
    <w:lvl w:ilvl="2" w:tplc="D2E08EDC" w:tentative="1">
      <w:start w:val="1"/>
      <w:numFmt w:val="lowerRoman"/>
      <w:lvlText w:val="%3."/>
      <w:lvlJc w:val="right"/>
      <w:pPr>
        <w:tabs>
          <w:tab w:val="num" w:pos="2160"/>
        </w:tabs>
        <w:ind w:left="2160" w:hanging="180"/>
      </w:pPr>
    </w:lvl>
    <w:lvl w:ilvl="3" w:tplc="314A3922" w:tentative="1">
      <w:start w:val="1"/>
      <w:numFmt w:val="decimal"/>
      <w:lvlText w:val="%4."/>
      <w:lvlJc w:val="left"/>
      <w:pPr>
        <w:tabs>
          <w:tab w:val="num" w:pos="2880"/>
        </w:tabs>
        <w:ind w:left="2880" w:hanging="360"/>
      </w:pPr>
    </w:lvl>
    <w:lvl w:ilvl="4" w:tplc="2B16551A" w:tentative="1">
      <w:start w:val="1"/>
      <w:numFmt w:val="lowerLetter"/>
      <w:lvlText w:val="%5."/>
      <w:lvlJc w:val="left"/>
      <w:pPr>
        <w:tabs>
          <w:tab w:val="num" w:pos="3600"/>
        </w:tabs>
        <w:ind w:left="3600" w:hanging="360"/>
      </w:pPr>
    </w:lvl>
    <w:lvl w:ilvl="5" w:tplc="2A160830" w:tentative="1">
      <w:start w:val="1"/>
      <w:numFmt w:val="lowerRoman"/>
      <w:lvlText w:val="%6."/>
      <w:lvlJc w:val="right"/>
      <w:pPr>
        <w:tabs>
          <w:tab w:val="num" w:pos="4320"/>
        </w:tabs>
        <w:ind w:left="4320" w:hanging="180"/>
      </w:pPr>
    </w:lvl>
    <w:lvl w:ilvl="6" w:tplc="5976691A" w:tentative="1">
      <w:start w:val="1"/>
      <w:numFmt w:val="decimal"/>
      <w:lvlText w:val="%7."/>
      <w:lvlJc w:val="left"/>
      <w:pPr>
        <w:tabs>
          <w:tab w:val="num" w:pos="5040"/>
        </w:tabs>
        <w:ind w:left="5040" w:hanging="360"/>
      </w:pPr>
    </w:lvl>
    <w:lvl w:ilvl="7" w:tplc="99CCCA8C" w:tentative="1">
      <w:start w:val="1"/>
      <w:numFmt w:val="lowerLetter"/>
      <w:lvlText w:val="%8."/>
      <w:lvlJc w:val="left"/>
      <w:pPr>
        <w:tabs>
          <w:tab w:val="num" w:pos="5760"/>
        </w:tabs>
        <w:ind w:left="5760" w:hanging="360"/>
      </w:pPr>
    </w:lvl>
    <w:lvl w:ilvl="8" w:tplc="19CE6564" w:tentative="1">
      <w:start w:val="1"/>
      <w:numFmt w:val="lowerRoman"/>
      <w:lvlText w:val="%9."/>
      <w:lvlJc w:val="right"/>
      <w:pPr>
        <w:tabs>
          <w:tab w:val="num" w:pos="6480"/>
        </w:tabs>
        <w:ind w:left="6480" w:hanging="180"/>
      </w:pPr>
    </w:lvl>
  </w:abstractNum>
  <w:abstractNum w:abstractNumId="23" w15:restartNumberingAfterBreak="0">
    <w:nsid w:val="6DB342B1"/>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727C451C"/>
    <w:multiLevelType w:val="multilevel"/>
    <w:tmpl w:val="1098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B67FC8"/>
    <w:multiLevelType w:val="multilevel"/>
    <w:tmpl w:val="D4AC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943B4B"/>
    <w:multiLevelType w:val="multilevel"/>
    <w:tmpl w:val="FB1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CF1294"/>
    <w:multiLevelType w:val="hybridMultilevel"/>
    <w:tmpl w:val="49B06666"/>
    <w:lvl w:ilvl="0" w:tplc="B7F0E5A6">
      <w:start w:val="1"/>
      <w:numFmt w:val="upperLetter"/>
      <w:pStyle w:val="F11-hlavnkapitola"/>
      <w:lvlText w:val="%1."/>
      <w:lvlJc w:val="left"/>
      <w:pPr>
        <w:tabs>
          <w:tab w:val="num" w:pos="794"/>
        </w:tabs>
        <w:ind w:left="794" w:hanging="79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07484830">
    <w:abstractNumId w:val="13"/>
  </w:num>
  <w:num w:numId="2" w16cid:durableId="1895313556">
    <w:abstractNumId w:val="22"/>
  </w:num>
  <w:num w:numId="3" w16cid:durableId="1213884590">
    <w:abstractNumId w:val="27"/>
  </w:num>
  <w:num w:numId="4" w16cid:durableId="249312893">
    <w:abstractNumId w:val="16"/>
  </w:num>
  <w:num w:numId="5" w16cid:durableId="315694586">
    <w:abstractNumId w:val="17"/>
  </w:num>
  <w:num w:numId="6" w16cid:durableId="108403674">
    <w:abstractNumId w:val="15"/>
  </w:num>
  <w:num w:numId="7" w16cid:durableId="604575006">
    <w:abstractNumId w:val="23"/>
  </w:num>
  <w:num w:numId="8" w16cid:durableId="2105804766">
    <w:abstractNumId w:val="20"/>
  </w:num>
  <w:num w:numId="9" w16cid:durableId="1101728839">
    <w:abstractNumId w:val="8"/>
  </w:num>
  <w:num w:numId="10" w16cid:durableId="147525618">
    <w:abstractNumId w:val="3"/>
  </w:num>
  <w:num w:numId="11" w16cid:durableId="1192184680">
    <w:abstractNumId w:val="2"/>
  </w:num>
  <w:num w:numId="12" w16cid:durableId="182088894">
    <w:abstractNumId w:val="1"/>
  </w:num>
  <w:num w:numId="13" w16cid:durableId="141392017">
    <w:abstractNumId w:val="0"/>
  </w:num>
  <w:num w:numId="14" w16cid:durableId="1168059388">
    <w:abstractNumId w:val="10"/>
  </w:num>
  <w:num w:numId="15" w16cid:durableId="1611010598">
    <w:abstractNumId w:val="9"/>
  </w:num>
  <w:num w:numId="16" w16cid:durableId="37248296">
    <w:abstractNumId w:val="7"/>
  </w:num>
  <w:num w:numId="17" w16cid:durableId="154491525">
    <w:abstractNumId w:val="6"/>
  </w:num>
  <w:num w:numId="18" w16cid:durableId="979844708">
    <w:abstractNumId w:val="5"/>
  </w:num>
  <w:num w:numId="19" w16cid:durableId="1197698942">
    <w:abstractNumId w:val="4"/>
  </w:num>
  <w:num w:numId="20" w16cid:durableId="567231113">
    <w:abstractNumId w:val="12"/>
  </w:num>
  <w:num w:numId="21" w16cid:durableId="1864786788">
    <w:abstractNumId w:val="21"/>
  </w:num>
  <w:num w:numId="22" w16cid:durableId="907761201">
    <w:abstractNumId w:val="11"/>
  </w:num>
  <w:num w:numId="23" w16cid:durableId="801576823">
    <w:abstractNumId w:val="19"/>
  </w:num>
  <w:num w:numId="24" w16cid:durableId="2076659369">
    <w:abstractNumId w:val="26"/>
  </w:num>
  <w:num w:numId="25" w16cid:durableId="1775054384">
    <w:abstractNumId w:val="24"/>
  </w:num>
  <w:num w:numId="26" w16cid:durableId="1232540532">
    <w:abstractNumId w:val="18"/>
  </w:num>
  <w:num w:numId="27" w16cid:durableId="511141412">
    <w:abstractNumId w:val="25"/>
  </w:num>
  <w:num w:numId="28" w16cid:durableId="1786462933">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804" w:allStyles="0" w:customStyles="0" w:latentStyles="1" w:stylesInUse="0" w:headingStyles="0" w:numberingStyles="0" w:tableStyles="0" w:directFormattingOnRuns="0" w:directFormattingOnParagraphs="0" w:directFormattingOnNumbering="0" w:directFormattingOnTables="1" w:clearFormatting="0"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C6"/>
    <w:rsid w:val="00001A0D"/>
    <w:rsid w:val="000029A3"/>
    <w:rsid w:val="0000353E"/>
    <w:rsid w:val="000051B3"/>
    <w:rsid w:val="00005C47"/>
    <w:rsid w:val="000064D6"/>
    <w:rsid w:val="00006E35"/>
    <w:rsid w:val="00010703"/>
    <w:rsid w:val="00011573"/>
    <w:rsid w:val="00011BEC"/>
    <w:rsid w:val="00013232"/>
    <w:rsid w:val="00016492"/>
    <w:rsid w:val="00017E0A"/>
    <w:rsid w:val="00020F03"/>
    <w:rsid w:val="00021D97"/>
    <w:rsid w:val="0002277D"/>
    <w:rsid w:val="000237A9"/>
    <w:rsid w:val="00026B23"/>
    <w:rsid w:val="00026F85"/>
    <w:rsid w:val="000326E4"/>
    <w:rsid w:val="0003273E"/>
    <w:rsid w:val="00032CD3"/>
    <w:rsid w:val="00033378"/>
    <w:rsid w:val="000348FD"/>
    <w:rsid w:val="0003583E"/>
    <w:rsid w:val="00035DD6"/>
    <w:rsid w:val="000363FF"/>
    <w:rsid w:val="000378F9"/>
    <w:rsid w:val="00040650"/>
    <w:rsid w:val="00040CE8"/>
    <w:rsid w:val="00040DEC"/>
    <w:rsid w:val="00041B2D"/>
    <w:rsid w:val="00043963"/>
    <w:rsid w:val="000452CD"/>
    <w:rsid w:val="00045D38"/>
    <w:rsid w:val="00047030"/>
    <w:rsid w:val="00047888"/>
    <w:rsid w:val="00047D97"/>
    <w:rsid w:val="00047F54"/>
    <w:rsid w:val="000502C0"/>
    <w:rsid w:val="00050575"/>
    <w:rsid w:val="00052178"/>
    <w:rsid w:val="0005404F"/>
    <w:rsid w:val="00054FEF"/>
    <w:rsid w:val="000564A3"/>
    <w:rsid w:val="00061775"/>
    <w:rsid w:val="00062BEA"/>
    <w:rsid w:val="00063F4E"/>
    <w:rsid w:val="00065B2F"/>
    <w:rsid w:val="000667E6"/>
    <w:rsid w:val="000672E3"/>
    <w:rsid w:val="000702F0"/>
    <w:rsid w:val="0007034E"/>
    <w:rsid w:val="0007090F"/>
    <w:rsid w:val="00070C89"/>
    <w:rsid w:val="00071169"/>
    <w:rsid w:val="0007145D"/>
    <w:rsid w:val="00073A88"/>
    <w:rsid w:val="00073CAB"/>
    <w:rsid w:val="00073D6F"/>
    <w:rsid w:val="000755DF"/>
    <w:rsid w:val="000763EB"/>
    <w:rsid w:val="000766BF"/>
    <w:rsid w:val="0007674D"/>
    <w:rsid w:val="000767DF"/>
    <w:rsid w:val="00076A25"/>
    <w:rsid w:val="00076A2B"/>
    <w:rsid w:val="00080750"/>
    <w:rsid w:val="00080A22"/>
    <w:rsid w:val="00081DCE"/>
    <w:rsid w:val="00084075"/>
    <w:rsid w:val="00084996"/>
    <w:rsid w:val="00091210"/>
    <w:rsid w:val="00092137"/>
    <w:rsid w:val="000923E4"/>
    <w:rsid w:val="00093200"/>
    <w:rsid w:val="00093C6A"/>
    <w:rsid w:val="00093E98"/>
    <w:rsid w:val="000940D0"/>
    <w:rsid w:val="000A0176"/>
    <w:rsid w:val="000A06A7"/>
    <w:rsid w:val="000A20E5"/>
    <w:rsid w:val="000A2833"/>
    <w:rsid w:val="000A2D6F"/>
    <w:rsid w:val="000A3FFF"/>
    <w:rsid w:val="000A572D"/>
    <w:rsid w:val="000A5FDF"/>
    <w:rsid w:val="000A6560"/>
    <w:rsid w:val="000A73CB"/>
    <w:rsid w:val="000A755E"/>
    <w:rsid w:val="000A7729"/>
    <w:rsid w:val="000B0FBB"/>
    <w:rsid w:val="000B18F3"/>
    <w:rsid w:val="000B2222"/>
    <w:rsid w:val="000B2426"/>
    <w:rsid w:val="000B39A5"/>
    <w:rsid w:val="000B51E9"/>
    <w:rsid w:val="000B579C"/>
    <w:rsid w:val="000B57A2"/>
    <w:rsid w:val="000B5A2B"/>
    <w:rsid w:val="000B7BA4"/>
    <w:rsid w:val="000C0E0E"/>
    <w:rsid w:val="000C17C8"/>
    <w:rsid w:val="000C34DC"/>
    <w:rsid w:val="000C4D6D"/>
    <w:rsid w:val="000C5471"/>
    <w:rsid w:val="000C727D"/>
    <w:rsid w:val="000C772F"/>
    <w:rsid w:val="000D25CC"/>
    <w:rsid w:val="000D3C66"/>
    <w:rsid w:val="000D4381"/>
    <w:rsid w:val="000D5282"/>
    <w:rsid w:val="000D580F"/>
    <w:rsid w:val="000E0C24"/>
    <w:rsid w:val="000E2910"/>
    <w:rsid w:val="000E3678"/>
    <w:rsid w:val="000E3D98"/>
    <w:rsid w:val="000E41E3"/>
    <w:rsid w:val="000E42A1"/>
    <w:rsid w:val="000E42FF"/>
    <w:rsid w:val="000E4ADE"/>
    <w:rsid w:val="000E5D25"/>
    <w:rsid w:val="000E6925"/>
    <w:rsid w:val="000E7127"/>
    <w:rsid w:val="000E7418"/>
    <w:rsid w:val="000F02A2"/>
    <w:rsid w:val="000F0587"/>
    <w:rsid w:val="000F17F3"/>
    <w:rsid w:val="000F1AE6"/>
    <w:rsid w:val="000F2443"/>
    <w:rsid w:val="000F274E"/>
    <w:rsid w:val="000F27E1"/>
    <w:rsid w:val="000F330C"/>
    <w:rsid w:val="000F4953"/>
    <w:rsid w:val="000F5A28"/>
    <w:rsid w:val="000F5BBC"/>
    <w:rsid w:val="000F687B"/>
    <w:rsid w:val="000F75AD"/>
    <w:rsid w:val="000F75F1"/>
    <w:rsid w:val="000F7C86"/>
    <w:rsid w:val="0010078F"/>
    <w:rsid w:val="00102DF4"/>
    <w:rsid w:val="001108B4"/>
    <w:rsid w:val="00111B20"/>
    <w:rsid w:val="00112C69"/>
    <w:rsid w:val="00112D51"/>
    <w:rsid w:val="00113408"/>
    <w:rsid w:val="00113C5A"/>
    <w:rsid w:val="00113E5E"/>
    <w:rsid w:val="0011458C"/>
    <w:rsid w:val="00114722"/>
    <w:rsid w:val="001169F2"/>
    <w:rsid w:val="00117D27"/>
    <w:rsid w:val="0012091C"/>
    <w:rsid w:val="001211C9"/>
    <w:rsid w:val="00121FAB"/>
    <w:rsid w:val="0012308F"/>
    <w:rsid w:val="00126B10"/>
    <w:rsid w:val="00127396"/>
    <w:rsid w:val="00127ED9"/>
    <w:rsid w:val="00130E22"/>
    <w:rsid w:val="00131B94"/>
    <w:rsid w:val="00131E29"/>
    <w:rsid w:val="00134A55"/>
    <w:rsid w:val="00137FDE"/>
    <w:rsid w:val="00140F96"/>
    <w:rsid w:val="00141CF1"/>
    <w:rsid w:val="0014300F"/>
    <w:rsid w:val="001443DF"/>
    <w:rsid w:val="001444EC"/>
    <w:rsid w:val="00145F9D"/>
    <w:rsid w:val="001462C0"/>
    <w:rsid w:val="00146942"/>
    <w:rsid w:val="00146BBC"/>
    <w:rsid w:val="001511F4"/>
    <w:rsid w:val="001522B5"/>
    <w:rsid w:val="00153D75"/>
    <w:rsid w:val="00153FD1"/>
    <w:rsid w:val="00154229"/>
    <w:rsid w:val="00154C56"/>
    <w:rsid w:val="00154D3A"/>
    <w:rsid w:val="001555FC"/>
    <w:rsid w:val="0015633B"/>
    <w:rsid w:val="00160EB2"/>
    <w:rsid w:val="00161993"/>
    <w:rsid w:val="001628BC"/>
    <w:rsid w:val="0016361E"/>
    <w:rsid w:val="00165789"/>
    <w:rsid w:val="0016695F"/>
    <w:rsid w:val="00170309"/>
    <w:rsid w:val="00170DE1"/>
    <w:rsid w:val="001715D9"/>
    <w:rsid w:val="00172511"/>
    <w:rsid w:val="00172F1C"/>
    <w:rsid w:val="0017506A"/>
    <w:rsid w:val="00175577"/>
    <w:rsid w:val="00177E1C"/>
    <w:rsid w:val="00177E5E"/>
    <w:rsid w:val="0018406F"/>
    <w:rsid w:val="00184F14"/>
    <w:rsid w:val="0018525E"/>
    <w:rsid w:val="0018729B"/>
    <w:rsid w:val="0018797C"/>
    <w:rsid w:val="00191AE8"/>
    <w:rsid w:val="00193268"/>
    <w:rsid w:val="00193655"/>
    <w:rsid w:val="00193CC3"/>
    <w:rsid w:val="0019405D"/>
    <w:rsid w:val="00194285"/>
    <w:rsid w:val="00194945"/>
    <w:rsid w:val="001949DC"/>
    <w:rsid w:val="001956CF"/>
    <w:rsid w:val="001970D7"/>
    <w:rsid w:val="00197E01"/>
    <w:rsid w:val="001A085A"/>
    <w:rsid w:val="001A0CB6"/>
    <w:rsid w:val="001A1B9B"/>
    <w:rsid w:val="001A3CA7"/>
    <w:rsid w:val="001A4AA9"/>
    <w:rsid w:val="001A68C4"/>
    <w:rsid w:val="001A6B3C"/>
    <w:rsid w:val="001A6ED5"/>
    <w:rsid w:val="001A74F2"/>
    <w:rsid w:val="001A7D5A"/>
    <w:rsid w:val="001A7DE3"/>
    <w:rsid w:val="001A7E89"/>
    <w:rsid w:val="001B0302"/>
    <w:rsid w:val="001B05F4"/>
    <w:rsid w:val="001B19BC"/>
    <w:rsid w:val="001B1BBD"/>
    <w:rsid w:val="001B23C8"/>
    <w:rsid w:val="001B2BE9"/>
    <w:rsid w:val="001B306F"/>
    <w:rsid w:val="001B353C"/>
    <w:rsid w:val="001B489F"/>
    <w:rsid w:val="001B69B7"/>
    <w:rsid w:val="001B7A52"/>
    <w:rsid w:val="001C02E6"/>
    <w:rsid w:val="001C21DF"/>
    <w:rsid w:val="001C233E"/>
    <w:rsid w:val="001C3FA2"/>
    <w:rsid w:val="001C4F9E"/>
    <w:rsid w:val="001C5A91"/>
    <w:rsid w:val="001C5D0C"/>
    <w:rsid w:val="001C5DB0"/>
    <w:rsid w:val="001C6F31"/>
    <w:rsid w:val="001D032B"/>
    <w:rsid w:val="001D0D99"/>
    <w:rsid w:val="001D1225"/>
    <w:rsid w:val="001D1343"/>
    <w:rsid w:val="001D441A"/>
    <w:rsid w:val="001D4B56"/>
    <w:rsid w:val="001D4CF8"/>
    <w:rsid w:val="001D5163"/>
    <w:rsid w:val="001D6D5D"/>
    <w:rsid w:val="001D7A7E"/>
    <w:rsid w:val="001E1A41"/>
    <w:rsid w:val="001E2936"/>
    <w:rsid w:val="001E2B0D"/>
    <w:rsid w:val="001E476B"/>
    <w:rsid w:val="001E507C"/>
    <w:rsid w:val="001E53EB"/>
    <w:rsid w:val="001E57AB"/>
    <w:rsid w:val="001E67FF"/>
    <w:rsid w:val="001E6913"/>
    <w:rsid w:val="001E6C4F"/>
    <w:rsid w:val="001F1241"/>
    <w:rsid w:val="001F1A22"/>
    <w:rsid w:val="001F1ACC"/>
    <w:rsid w:val="001F297A"/>
    <w:rsid w:val="001F2C9A"/>
    <w:rsid w:val="001F4B06"/>
    <w:rsid w:val="001F5BD4"/>
    <w:rsid w:val="001F627F"/>
    <w:rsid w:val="001F65C1"/>
    <w:rsid w:val="002006D5"/>
    <w:rsid w:val="00201CD7"/>
    <w:rsid w:val="002027ED"/>
    <w:rsid w:val="00202F64"/>
    <w:rsid w:val="00203977"/>
    <w:rsid w:val="00206A7F"/>
    <w:rsid w:val="00206A9C"/>
    <w:rsid w:val="00210DA8"/>
    <w:rsid w:val="00210EEA"/>
    <w:rsid w:val="002127C7"/>
    <w:rsid w:val="00212B9E"/>
    <w:rsid w:val="00212DDA"/>
    <w:rsid w:val="002147C4"/>
    <w:rsid w:val="00216EFA"/>
    <w:rsid w:val="0021765E"/>
    <w:rsid w:val="0021778F"/>
    <w:rsid w:val="00221643"/>
    <w:rsid w:val="00221EE4"/>
    <w:rsid w:val="002237EC"/>
    <w:rsid w:val="002241EE"/>
    <w:rsid w:val="00224347"/>
    <w:rsid w:val="00224EAE"/>
    <w:rsid w:val="00225670"/>
    <w:rsid w:val="002268F9"/>
    <w:rsid w:val="00226D28"/>
    <w:rsid w:val="00227323"/>
    <w:rsid w:val="002273F8"/>
    <w:rsid w:val="00230204"/>
    <w:rsid w:val="0023028F"/>
    <w:rsid w:val="00230A3C"/>
    <w:rsid w:val="00230B88"/>
    <w:rsid w:val="00231842"/>
    <w:rsid w:val="00231C56"/>
    <w:rsid w:val="00231E15"/>
    <w:rsid w:val="002325C8"/>
    <w:rsid w:val="00232D93"/>
    <w:rsid w:val="00233450"/>
    <w:rsid w:val="00235E9D"/>
    <w:rsid w:val="00236025"/>
    <w:rsid w:val="0023608B"/>
    <w:rsid w:val="00236922"/>
    <w:rsid w:val="00236A18"/>
    <w:rsid w:val="00236C7C"/>
    <w:rsid w:val="00236FC4"/>
    <w:rsid w:val="00237B59"/>
    <w:rsid w:val="00240FEC"/>
    <w:rsid w:val="0024226C"/>
    <w:rsid w:val="002423A0"/>
    <w:rsid w:val="002438EA"/>
    <w:rsid w:val="00243F5F"/>
    <w:rsid w:val="00245331"/>
    <w:rsid w:val="00245CA0"/>
    <w:rsid w:val="00246476"/>
    <w:rsid w:val="0024760D"/>
    <w:rsid w:val="002476C8"/>
    <w:rsid w:val="00252816"/>
    <w:rsid w:val="00252C08"/>
    <w:rsid w:val="0025356A"/>
    <w:rsid w:val="002548DB"/>
    <w:rsid w:val="00255335"/>
    <w:rsid w:val="00255E9C"/>
    <w:rsid w:val="00255F84"/>
    <w:rsid w:val="00256118"/>
    <w:rsid w:val="0025641E"/>
    <w:rsid w:val="00256692"/>
    <w:rsid w:val="00257859"/>
    <w:rsid w:val="00262023"/>
    <w:rsid w:val="00262CDC"/>
    <w:rsid w:val="0026336D"/>
    <w:rsid w:val="00263B67"/>
    <w:rsid w:val="002659D6"/>
    <w:rsid w:val="00266BB2"/>
    <w:rsid w:val="00267F47"/>
    <w:rsid w:val="0027138C"/>
    <w:rsid w:val="0027263C"/>
    <w:rsid w:val="002746C8"/>
    <w:rsid w:val="002749F1"/>
    <w:rsid w:val="00274B2A"/>
    <w:rsid w:val="00276830"/>
    <w:rsid w:val="002772D7"/>
    <w:rsid w:val="002772EA"/>
    <w:rsid w:val="00277457"/>
    <w:rsid w:val="002804AB"/>
    <w:rsid w:val="0028058D"/>
    <w:rsid w:val="0028110E"/>
    <w:rsid w:val="0028168C"/>
    <w:rsid w:val="00281857"/>
    <w:rsid w:val="00282531"/>
    <w:rsid w:val="00283492"/>
    <w:rsid w:val="00283AE5"/>
    <w:rsid w:val="00283F1B"/>
    <w:rsid w:val="00284C66"/>
    <w:rsid w:val="0029073F"/>
    <w:rsid w:val="00291676"/>
    <w:rsid w:val="00291E39"/>
    <w:rsid w:val="0029280B"/>
    <w:rsid w:val="00292C1D"/>
    <w:rsid w:val="00292EC0"/>
    <w:rsid w:val="00293679"/>
    <w:rsid w:val="00293BA3"/>
    <w:rsid w:val="00294A46"/>
    <w:rsid w:val="00296721"/>
    <w:rsid w:val="00296E4C"/>
    <w:rsid w:val="00296EFF"/>
    <w:rsid w:val="00297239"/>
    <w:rsid w:val="00297927"/>
    <w:rsid w:val="00297E46"/>
    <w:rsid w:val="002A0553"/>
    <w:rsid w:val="002A0933"/>
    <w:rsid w:val="002A2D40"/>
    <w:rsid w:val="002A3111"/>
    <w:rsid w:val="002A374D"/>
    <w:rsid w:val="002A3C7D"/>
    <w:rsid w:val="002A44A9"/>
    <w:rsid w:val="002A4D2E"/>
    <w:rsid w:val="002B0AF2"/>
    <w:rsid w:val="002B0AFD"/>
    <w:rsid w:val="002B0B15"/>
    <w:rsid w:val="002B14B5"/>
    <w:rsid w:val="002B2991"/>
    <w:rsid w:val="002B3C38"/>
    <w:rsid w:val="002B4A3F"/>
    <w:rsid w:val="002B5380"/>
    <w:rsid w:val="002B5926"/>
    <w:rsid w:val="002B5C76"/>
    <w:rsid w:val="002B6FCD"/>
    <w:rsid w:val="002B72A2"/>
    <w:rsid w:val="002B7380"/>
    <w:rsid w:val="002B78D0"/>
    <w:rsid w:val="002B7901"/>
    <w:rsid w:val="002C1698"/>
    <w:rsid w:val="002C1FC2"/>
    <w:rsid w:val="002C2049"/>
    <w:rsid w:val="002C3975"/>
    <w:rsid w:val="002C4E32"/>
    <w:rsid w:val="002C50AC"/>
    <w:rsid w:val="002C5176"/>
    <w:rsid w:val="002C577F"/>
    <w:rsid w:val="002C5928"/>
    <w:rsid w:val="002C6682"/>
    <w:rsid w:val="002C7913"/>
    <w:rsid w:val="002D0CC4"/>
    <w:rsid w:val="002D0CD4"/>
    <w:rsid w:val="002D11C7"/>
    <w:rsid w:val="002D22C6"/>
    <w:rsid w:val="002D28A9"/>
    <w:rsid w:val="002D6A75"/>
    <w:rsid w:val="002D7CBC"/>
    <w:rsid w:val="002E3325"/>
    <w:rsid w:val="002E497E"/>
    <w:rsid w:val="002E64B5"/>
    <w:rsid w:val="002E754C"/>
    <w:rsid w:val="002E76D1"/>
    <w:rsid w:val="002F0500"/>
    <w:rsid w:val="002F1160"/>
    <w:rsid w:val="002F3918"/>
    <w:rsid w:val="002F3B85"/>
    <w:rsid w:val="002F4BF6"/>
    <w:rsid w:val="002F5491"/>
    <w:rsid w:val="002F7A8F"/>
    <w:rsid w:val="00301671"/>
    <w:rsid w:val="00301881"/>
    <w:rsid w:val="0030211F"/>
    <w:rsid w:val="00302961"/>
    <w:rsid w:val="00303102"/>
    <w:rsid w:val="00304242"/>
    <w:rsid w:val="00307253"/>
    <w:rsid w:val="0030766B"/>
    <w:rsid w:val="003078EB"/>
    <w:rsid w:val="00307E7E"/>
    <w:rsid w:val="003104E7"/>
    <w:rsid w:val="00310E2F"/>
    <w:rsid w:val="003114D0"/>
    <w:rsid w:val="00311AE0"/>
    <w:rsid w:val="00311D2E"/>
    <w:rsid w:val="0031400E"/>
    <w:rsid w:val="003172DF"/>
    <w:rsid w:val="003177AF"/>
    <w:rsid w:val="00317BF7"/>
    <w:rsid w:val="00320015"/>
    <w:rsid w:val="00321602"/>
    <w:rsid w:val="00321AE8"/>
    <w:rsid w:val="00322445"/>
    <w:rsid w:val="00322CF1"/>
    <w:rsid w:val="00324545"/>
    <w:rsid w:val="0032573A"/>
    <w:rsid w:val="00327439"/>
    <w:rsid w:val="003274DC"/>
    <w:rsid w:val="00327F8D"/>
    <w:rsid w:val="00327F8E"/>
    <w:rsid w:val="003301F8"/>
    <w:rsid w:val="00330746"/>
    <w:rsid w:val="00331400"/>
    <w:rsid w:val="0033156B"/>
    <w:rsid w:val="003322D8"/>
    <w:rsid w:val="003337EA"/>
    <w:rsid w:val="00333885"/>
    <w:rsid w:val="003343C4"/>
    <w:rsid w:val="00334497"/>
    <w:rsid w:val="00340CA2"/>
    <w:rsid w:val="00341086"/>
    <w:rsid w:val="00341E98"/>
    <w:rsid w:val="00343136"/>
    <w:rsid w:val="00343CFF"/>
    <w:rsid w:val="00344296"/>
    <w:rsid w:val="00346522"/>
    <w:rsid w:val="00347B43"/>
    <w:rsid w:val="0035034F"/>
    <w:rsid w:val="00351441"/>
    <w:rsid w:val="003524F1"/>
    <w:rsid w:val="00352768"/>
    <w:rsid w:val="00352E92"/>
    <w:rsid w:val="00352F7A"/>
    <w:rsid w:val="00356DCD"/>
    <w:rsid w:val="0036129D"/>
    <w:rsid w:val="00362096"/>
    <w:rsid w:val="0036311C"/>
    <w:rsid w:val="00364C9F"/>
    <w:rsid w:val="00366ABC"/>
    <w:rsid w:val="00370EB8"/>
    <w:rsid w:val="00371045"/>
    <w:rsid w:val="00371B42"/>
    <w:rsid w:val="00371CF8"/>
    <w:rsid w:val="00372ACE"/>
    <w:rsid w:val="00372D58"/>
    <w:rsid w:val="003731A5"/>
    <w:rsid w:val="003736DA"/>
    <w:rsid w:val="00373731"/>
    <w:rsid w:val="00374CFA"/>
    <w:rsid w:val="003751F0"/>
    <w:rsid w:val="00375524"/>
    <w:rsid w:val="0037564F"/>
    <w:rsid w:val="003761BB"/>
    <w:rsid w:val="00381E63"/>
    <w:rsid w:val="00382A16"/>
    <w:rsid w:val="00383735"/>
    <w:rsid w:val="00383E57"/>
    <w:rsid w:val="00384699"/>
    <w:rsid w:val="00386215"/>
    <w:rsid w:val="003864E2"/>
    <w:rsid w:val="003866DC"/>
    <w:rsid w:val="003872AC"/>
    <w:rsid w:val="003900AC"/>
    <w:rsid w:val="00390999"/>
    <w:rsid w:val="003909E0"/>
    <w:rsid w:val="003911D6"/>
    <w:rsid w:val="00391A9C"/>
    <w:rsid w:val="00391EEB"/>
    <w:rsid w:val="00394B7B"/>
    <w:rsid w:val="00395B87"/>
    <w:rsid w:val="00397E34"/>
    <w:rsid w:val="003A0565"/>
    <w:rsid w:val="003A0BB4"/>
    <w:rsid w:val="003A2CC7"/>
    <w:rsid w:val="003A32D9"/>
    <w:rsid w:val="003A33EF"/>
    <w:rsid w:val="003A415C"/>
    <w:rsid w:val="003A4774"/>
    <w:rsid w:val="003A5592"/>
    <w:rsid w:val="003A68DD"/>
    <w:rsid w:val="003A7050"/>
    <w:rsid w:val="003A7482"/>
    <w:rsid w:val="003A75FD"/>
    <w:rsid w:val="003A7DAF"/>
    <w:rsid w:val="003B2330"/>
    <w:rsid w:val="003B397A"/>
    <w:rsid w:val="003B3BF6"/>
    <w:rsid w:val="003B4278"/>
    <w:rsid w:val="003B4C8C"/>
    <w:rsid w:val="003B5520"/>
    <w:rsid w:val="003B6B7E"/>
    <w:rsid w:val="003C0075"/>
    <w:rsid w:val="003C06F7"/>
    <w:rsid w:val="003C1594"/>
    <w:rsid w:val="003C19B7"/>
    <w:rsid w:val="003C4059"/>
    <w:rsid w:val="003C50F1"/>
    <w:rsid w:val="003C511D"/>
    <w:rsid w:val="003C537A"/>
    <w:rsid w:val="003C5AFB"/>
    <w:rsid w:val="003C6392"/>
    <w:rsid w:val="003C681A"/>
    <w:rsid w:val="003C7010"/>
    <w:rsid w:val="003C7DAE"/>
    <w:rsid w:val="003D026E"/>
    <w:rsid w:val="003D10A8"/>
    <w:rsid w:val="003D2083"/>
    <w:rsid w:val="003D20CC"/>
    <w:rsid w:val="003D2B0F"/>
    <w:rsid w:val="003D626C"/>
    <w:rsid w:val="003D7BE4"/>
    <w:rsid w:val="003E03EB"/>
    <w:rsid w:val="003E0642"/>
    <w:rsid w:val="003E1363"/>
    <w:rsid w:val="003E31D0"/>
    <w:rsid w:val="003E450D"/>
    <w:rsid w:val="003E54FD"/>
    <w:rsid w:val="003E5C35"/>
    <w:rsid w:val="003F0943"/>
    <w:rsid w:val="003F13C4"/>
    <w:rsid w:val="003F142F"/>
    <w:rsid w:val="003F2486"/>
    <w:rsid w:val="003F2E64"/>
    <w:rsid w:val="003F6488"/>
    <w:rsid w:val="003F69CE"/>
    <w:rsid w:val="003F69D9"/>
    <w:rsid w:val="003F6F64"/>
    <w:rsid w:val="003F7813"/>
    <w:rsid w:val="00400B6B"/>
    <w:rsid w:val="004021B9"/>
    <w:rsid w:val="00402409"/>
    <w:rsid w:val="00404143"/>
    <w:rsid w:val="00404DB5"/>
    <w:rsid w:val="00405D0D"/>
    <w:rsid w:val="0041004D"/>
    <w:rsid w:val="004113D5"/>
    <w:rsid w:val="004115C0"/>
    <w:rsid w:val="004118D0"/>
    <w:rsid w:val="00411B33"/>
    <w:rsid w:val="004125BB"/>
    <w:rsid w:val="00412819"/>
    <w:rsid w:val="0041337E"/>
    <w:rsid w:val="004177E3"/>
    <w:rsid w:val="004202CB"/>
    <w:rsid w:val="00420D53"/>
    <w:rsid w:val="00421B88"/>
    <w:rsid w:val="004224B6"/>
    <w:rsid w:val="004235A0"/>
    <w:rsid w:val="004238B6"/>
    <w:rsid w:val="00423C1E"/>
    <w:rsid w:val="00423C6F"/>
    <w:rsid w:val="00424771"/>
    <w:rsid w:val="00425B35"/>
    <w:rsid w:val="00427801"/>
    <w:rsid w:val="004278C3"/>
    <w:rsid w:val="0043115E"/>
    <w:rsid w:val="00431E52"/>
    <w:rsid w:val="00433AB4"/>
    <w:rsid w:val="004347CE"/>
    <w:rsid w:val="0043546F"/>
    <w:rsid w:val="004370DA"/>
    <w:rsid w:val="00440AB9"/>
    <w:rsid w:val="004428A1"/>
    <w:rsid w:val="004430F8"/>
    <w:rsid w:val="00443C2E"/>
    <w:rsid w:val="004444B6"/>
    <w:rsid w:val="00445920"/>
    <w:rsid w:val="0044597A"/>
    <w:rsid w:val="00445D92"/>
    <w:rsid w:val="00447E3C"/>
    <w:rsid w:val="00451482"/>
    <w:rsid w:val="0045291A"/>
    <w:rsid w:val="00452BD8"/>
    <w:rsid w:val="004539E4"/>
    <w:rsid w:val="00453BAC"/>
    <w:rsid w:val="004544F8"/>
    <w:rsid w:val="00454D44"/>
    <w:rsid w:val="00455259"/>
    <w:rsid w:val="00455A3C"/>
    <w:rsid w:val="0046155B"/>
    <w:rsid w:val="004634EE"/>
    <w:rsid w:val="00463E8F"/>
    <w:rsid w:val="00464475"/>
    <w:rsid w:val="00466116"/>
    <w:rsid w:val="00467BA4"/>
    <w:rsid w:val="004705A5"/>
    <w:rsid w:val="0047134E"/>
    <w:rsid w:val="0047156B"/>
    <w:rsid w:val="004715F4"/>
    <w:rsid w:val="0047275D"/>
    <w:rsid w:val="004739FA"/>
    <w:rsid w:val="00475575"/>
    <w:rsid w:val="004761F2"/>
    <w:rsid w:val="00480C04"/>
    <w:rsid w:val="00480E25"/>
    <w:rsid w:val="00483678"/>
    <w:rsid w:val="00484077"/>
    <w:rsid w:val="00484668"/>
    <w:rsid w:val="004846D8"/>
    <w:rsid w:val="0048487F"/>
    <w:rsid w:val="00485D81"/>
    <w:rsid w:val="004863EC"/>
    <w:rsid w:val="00486C38"/>
    <w:rsid w:val="0048732C"/>
    <w:rsid w:val="00487542"/>
    <w:rsid w:val="00487ECF"/>
    <w:rsid w:val="0049074E"/>
    <w:rsid w:val="004907F4"/>
    <w:rsid w:val="00493172"/>
    <w:rsid w:val="00493333"/>
    <w:rsid w:val="00494414"/>
    <w:rsid w:val="004951BE"/>
    <w:rsid w:val="0049538C"/>
    <w:rsid w:val="004955BB"/>
    <w:rsid w:val="00497C14"/>
    <w:rsid w:val="004A0EA9"/>
    <w:rsid w:val="004A3533"/>
    <w:rsid w:val="004A3C5B"/>
    <w:rsid w:val="004A461C"/>
    <w:rsid w:val="004A4780"/>
    <w:rsid w:val="004A47DC"/>
    <w:rsid w:val="004A52B6"/>
    <w:rsid w:val="004B10E5"/>
    <w:rsid w:val="004B1F43"/>
    <w:rsid w:val="004B25A0"/>
    <w:rsid w:val="004B29BE"/>
    <w:rsid w:val="004B366C"/>
    <w:rsid w:val="004B3A45"/>
    <w:rsid w:val="004B4063"/>
    <w:rsid w:val="004B4F7D"/>
    <w:rsid w:val="004B4F84"/>
    <w:rsid w:val="004B5505"/>
    <w:rsid w:val="004B55E8"/>
    <w:rsid w:val="004B5CB6"/>
    <w:rsid w:val="004C1341"/>
    <w:rsid w:val="004C21C9"/>
    <w:rsid w:val="004C2C00"/>
    <w:rsid w:val="004C2FA8"/>
    <w:rsid w:val="004C3497"/>
    <w:rsid w:val="004C352C"/>
    <w:rsid w:val="004C3BA7"/>
    <w:rsid w:val="004C4404"/>
    <w:rsid w:val="004C5035"/>
    <w:rsid w:val="004C5276"/>
    <w:rsid w:val="004C5F47"/>
    <w:rsid w:val="004C6D56"/>
    <w:rsid w:val="004C7E96"/>
    <w:rsid w:val="004C7EA7"/>
    <w:rsid w:val="004D1014"/>
    <w:rsid w:val="004D3633"/>
    <w:rsid w:val="004D66DB"/>
    <w:rsid w:val="004D79D4"/>
    <w:rsid w:val="004E0978"/>
    <w:rsid w:val="004E14D9"/>
    <w:rsid w:val="004E1CB1"/>
    <w:rsid w:val="004E2D7E"/>
    <w:rsid w:val="004E4B6A"/>
    <w:rsid w:val="004E4ED5"/>
    <w:rsid w:val="004E6300"/>
    <w:rsid w:val="004F1DDB"/>
    <w:rsid w:val="004F2995"/>
    <w:rsid w:val="004F324F"/>
    <w:rsid w:val="004F4064"/>
    <w:rsid w:val="004F5136"/>
    <w:rsid w:val="004F5DCA"/>
    <w:rsid w:val="004F688F"/>
    <w:rsid w:val="004F74B4"/>
    <w:rsid w:val="004F7624"/>
    <w:rsid w:val="005007C8"/>
    <w:rsid w:val="005021C7"/>
    <w:rsid w:val="00502D84"/>
    <w:rsid w:val="00504B64"/>
    <w:rsid w:val="00505A54"/>
    <w:rsid w:val="00505FAA"/>
    <w:rsid w:val="00506095"/>
    <w:rsid w:val="00506ACA"/>
    <w:rsid w:val="00506CD0"/>
    <w:rsid w:val="00507183"/>
    <w:rsid w:val="00507D6F"/>
    <w:rsid w:val="00507F1F"/>
    <w:rsid w:val="005107FD"/>
    <w:rsid w:val="00510980"/>
    <w:rsid w:val="00511B34"/>
    <w:rsid w:val="00512AEC"/>
    <w:rsid w:val="00512D81"/>
    <w:rsid w:val="0051504C"/>
    <w:rsid w:val="005172B1"/>
    <w:rsid w:val="005203AA"/>
    <w:rsid w:val="00520506"/>
    <w:rsid w:val="005206E2"/>
    <w:rsid w:val="00521ADE"/>
    <w:rsid w:val="0052268E"/>
    <w:rsid w:val="0052280A"/>
    <w:rsid w:val="005248D0"/>
    <w:rsid w:val="00524BC3"/>
    <w:rsid w:val="00525B77"/>
    <w:rsid w:val="0053070C"/>
    <w:rsid w:val="005314DF"/>
    <w:rsid w:val="00533105"/>
    <w:rsid w:val="005331B5"/>
    <w:rsid w:val="00534D3B"/>
    <w:rsid w:val="005351B3"/>
    <w:rsid w:val="005400A5"/>
    <w:rsid w:val="005420B4"/>
    <w:rsid w:val="005437B4"/>
    <w:rsid w:val="00543AE7"/>
    <w:rsid w:val="0054471F"/>
    <w:rsid w:val="00544A64"/>
    <w:rsid w:val="0054520B"/>
    <w:rsid w:val="005459F5"/>
    <w:rsid w:val="00545B68"/>
    <w:rsid w:val="00546CB9"/>
    <w:rsid w:val="00546DF7"/>
    <w:rsid w:val="0055121B"/>
    <w:rsid w:val="00551751"/>
    <w:rsid w:val="00552B6E"/>
    <w:rsid w:val="00552E23"/>
    <w:rsid w:val="005545A5"/>
    <w:rsid w:val="00554715"/>
    <w:rsid w:val="00555D64"/>
    <w:rsid w:val="00556D4F"/>
    <w:rsid w:val="00557A71"/>
    <w:rsid w:val="00560AED"/>
    <w:rsid w:val="005615FA"/>
    <w:rsid w:val="0056231D"/>
    <w:rsid w:val="005623DD"/>
    <w:rsid w:val="00563B23"/>
    <w:rsid w:val="00563D01"/>
    <w:rsid w:val="0056452E"/>
    <w:rsid w:val="00565185"/>
    <w:rsid w:val="005654C8"/>
    <w:rsid w:val="005656FB"/>
    <w:rsid w:val="00566995"/>
    <w:rsid w:val="00567010"/>
    <w:rsid w:val="00567482"/>
    <w:rsid w:val="005678EB"/>
    <w:rsid w:val="00570CA6"/>
    <w:rsid w:val="00570F18"/>
    <w:rsid w:val="0057123D"/>
    <w:rsid w:val="0057170D"/>
    <w:rsid w:val="005720AF"/>
    <w:rsid w:val="0057387E"/>
    <w:rsid w:val="00573BFA"/>
    <w:rsid w:val="00573CC7"/>
    <w:rsid w:val="0057495C"/>
    <w:rsid w:val="005758A5"/>
    <w:rsid w:val="0057613C"/>
    <w:rsid w:val="0057636A"/>
    <w:rsid w:val="00576443"/>
    <w:rsid w:val="00583941"/>
    <w:rsid w:val="005847DC"/>
    <w:rsid w:val="005850C7"/>
    <w:rsid w:val="005856EF"/>
    <w:rsid w:val="00585CC6"/>
    <w:rsid w:val="0059072E"/>
    <w:rsid w:val="005908A9"/>
    <w:rsid w:val="00590FA2"/>
    <w:rsid w:val="00591893"/>
    <w:rsid w:val="00592351"/>
    <w:rsid w:val="00593457"/>
    <w:rsid w:val="00594851"/>
    <w:rsid w:val="00594C42"/>
    <w:rsid w:val="00594CEF"/>
    <w:rsid w:val="00596841"/>
    <w:rsid w:val="0059684A"/>
    <w:rsid w:val="005A0345"/>
    <w:rsid w:val="005A0903"/>
    <w:rsid w:val="005A1633"/>
    <w:rsid w:val="005A16B9"/>
    <w:rsid w:val="005A2203"/>
    <w:rsid w:val="005A25B7"/>
    <w:rsid w:val="005A26EE"/>
    <w:rsid w:val="005A33F3"/>
    <w:rsid w:val="005A3C0F"/>
    <w:rsid w:val="005A3EC1"/>
    <w:rsid w:val="005A47B7"/>
    <w:rsid w:val="005A5AB1"/>
    <w:rsid w:val="005A658B"/>
    <w:rsid w:val="005B07C4"/>
    <w:rsid w:val="005B19CD"/>
    <w:rsid w:val="005B19D9"/>
    <w:rsid w:val="005B1B79"/>
    <w:rsid w:val="005B24EA"/>
    <w:rsid w:val="005B2594"/>
    <w:rsid w:val="005B2F2A"/>
    <w:rsid w:val="005B33DF"/>
    <w:rsid w:val="005B55C1"/>
    <w:rsid w:val="005B6F85"/>
    <w:rsid w:val="005C00A9"/>
    <w:rsid w:val="005C17ED"/>
    <w:rsid w:val="005C20F7"/>
    <w:rsid w:val="005C22F8"/>
    <w:rsid w:val="005C3120"/>
    <w:rsid w:val="005C35C7"/>
    <w:rsid w:val="005C4078"/>
    <w:rsid w:val="005C45F6"/>
    <w:rsid w:val="005C5039"/>
    <w:rsid w:val="005C5B11"/>
    <w:rsid w:val="005C5B2D"/>
    <w:rsid w:val="005C6A6C"/>
    <w:rsid w:val="005C74D1"/>
    <w:rsid w:val="005C7C7C"/>
    <w:rsid w:val="005C7FC0"/>
    <w:rsid w:val="005D0735"/>
    <w:rsid w:val="005D1C98"/>
    <w:rsid w:val="005D37B5"/>
    <w:rsid w:val="005D3B85"/>
    <w:rsid w:val="005D3F78"/>
    <w:rsid w:val="005D49F1"/>
    <w:rsid w:val="005D4A01"/>
    <w:rsid w:val="005D4A52"/>
    <w:rsid w:val="005D56B3"/>
    <w:rsid w:val="005D5B6F"/>
    <w:rsid w:val="005D6494"/>
    <w:rsid w:val="005D72C2"/>
    <w:rsid w:val="005D79E1"/>
    <w:rsid w:val="005D7C68"/>
    <w:rsid w:val="005E1A38"/>
    <w:rsid w:val="005E2179"/>
    <w:rsid w:val="005E27A3"/>
    <w:rsid w:val="005E2AA8"/>
    <w:rsid w:val="005E45D5"/>
    <w:rsid w:val="005E616C"/>
    <w:rsid w:val="005E6624"/>
    <w:rsid w:val="005E66A3"/>
    <w:rsid w:val="005F0478"/>
    <w:rsid w:val="005F1230"/>
    <w:rsid w:val="005F1FA6"/>
    <w:rsid w:val="005F34DA"/>
    <w:rsid w:val="005F4989"/>
    <w:rsid w:val="005F54F7"/>
    <w:rsid w:val="00601C76"/>
    <w:rsid w:val="006031EF"/>
    <w:rsid w:val="0060337A"/>
    <w:rsid w:val="006044C8"/>
    <w:rsid w:val="00604C17"/>
    <w:rsid w:val="006058F1"/>
    <w:rsid w:val="006078A6"/>
    <w:rsid w:val="006108D1"/>
    <w:rsid w:val="00611055"/>
    <w:rsid w:val="00611687"/>
    <w:rsid w:val="00612491"/>
    <w:rsid w:val="00613269"/>
    <w:rsid w:val="00614F7E"/>
    <w:rsid w:val="006154B6"/>
    <w:rsid w:val="0061601E"/>
    <w:rsid w:val="0061643A"/>
    <w:rsid w:val="00617053"/>
    <w:rsid w:val="00617E2A"/>
    <w:rsid w:val="00620ECE"/>
    <w:rsid w:val="0062106A"/>
    <w:rsid w:val="0062230F"/>
    <w:rsid w:val="006226CD"/>
    <w:rsid w:val="00622E77"/>
    <w:rsid w:val="00623758"/>
    <w:rsid w:val="0062398C"/>
    <w:rsid w:val="00624AE2"/>
    <w:rsid w:val="00624DDA"/>
    <w:rsid w:val="00627B44"/>
    <w:rsid w:val="00627C23"/>
    <w:rsid w:val="006305EF"/>
    <w:rsid w:val="00631992"/>
    <w:rsid w:val="00631E30"/>
    <w:rsid w:val="00632705"/>
    <w:rsid w:val="00636E32"/>
    <w:rsid w:val="00636E7F"/>
    <w:rsid w:val="00640475"/>
    <w:rsid w:val="006404A9"/>
    <w:rsid w:val="006419BA"/>
    <w:rsid w:val="00641D35"/>
    <w:rsid w:val="00641F34"/>
    <w:rsid w:val="00642018"/>
    <w:rsid w:val="00642A36"/>
    <w:rsid w:val="006437A9"/>
    <w:rsid w:val="00643F9F"/>
    <w:rsid w:val="006440ED"/>
    <w:rsid w:val="00645857"/>
    <w:rsid w:val="006471C4"/>
    <w:rsid w:val="00650A33"/>
    <w:rsid w:val="00652AEE"/>
    <w:rsid w:val="00653433"/>
    <w:rsid w:val="00653727"/>
    <w:rsid w:val="00653C29"/>
    <w:rsid w:val="00654B04"/>
    <w:rsid w:val="0065650A"/>
    <w:rsid w:val="0065660F"/>
    <w:rsid w:val="00656EB3"/>
    <w:rsid w:val="006573B5"/>
    <w:rsid w:val="00657D5A"/>
    <w:rsid w:val="00660480"/>
    <w:rsid w:val="00661276"/>
    <w:rsid w:val="00661FF2"/>
    <w:rsid w:val="00662C87"/>
    <w:rsid w:val="0066345D"/>
    <w:rsid w:val="00664ECE"/>
    <w:rsid w:val="006652A0"/>
    <w:rsid w:val="00666290"/>
    <w:rsid w:val="00670027"/>
    <w:rsid w:val="00671D22"/>
    <w:rsid w:val="00673018"/>
    <w:rsid w:val="00675EB3"/>
    <w:rsid w:val="0067608C"/>
    <w:rsid w:val="00676843"/>
    <w:rsid w:val="00676BD2"/>
    <w:rsid w:val="00677228"/>
    <w:rsid w:val="00680068"/>
    <w:rsid w:val="006801CA"/>
    <w:rsid w:val="00680B56"/>
    <w:rsid w:val="00680C92"/>
    <w:rsid w:val="00680D4C"/>
    <w:rsid w:val="006817AB"/>
    <w:rsid w:val="00682099"/>
    <w:rsid w:val="00682746"/>
    <w:rsid w:val="00683717"/>
    <w:rsid w:val="00684132"/>
    <w:rsid w:val="006844B9"/>
    <w:rsid w:val="00685707"/>
    <w:rsid w:val="00685B75"/>
    <w:rsid w:val="006867CC"/>
    <w:rsid w:val="00686E95"/>
    <w:rsid w:val="00690740"/>
    <w:rsid w:val="00690C50"/>
    <w:rsid w:val="006923A6"/>
    <w:rsid w:val="00692EE8"/>
    <w:rsid w:val="00693595"/>
    <w:rsid w:val="0069454C"/>
    <w:rsid w:val="00694CCF"/>
    <w:rsid w:val="00694D57"/>
    <w:rsid w:val="00694F26"/>
    <w:rsid w:val="0069509B"/>
    <w:rsid w:val="00696362"/>
    <w:rsid w:val="00697902"/>
    <w:rsid w:val="00697F0A"/>
    <w:rsid w:val="006A04AE"/>
    <w:rsid w:val="006A068B"/>
    <w:rsid w:val="006A0E52"/>
    <w:rsid w:val="006A25B4"/>
    <w:rsid w:val="006A30DB"/>
    <w:rsid w:val="006A3949"/>
    <w:rsid w:val="006A45FD"/>
    <w:rsid w:val="006A4A62"/>
    <w:rsid w:val="006A5942"/>
    <w:rsid w:val="006A7552"/>
    <w:rsid w:val="006B01B9"/>
    <w:rsid w:val="006B0439"/>
    <w:rsid w:val="006B0D10"/>
    <w:rsid w:val="006B0EC2"/>
    <w:rsid w:val="006B13D4"/>
    <w:rsid w:val="006B3ABE"/>
    <w:rsid w:val="006B4884"/>
    <w:rsid w:val="006B4A52"/>
    <w:rsid w:val="006B5383"/>
    <w:rsid w:val="006B6A37"/>
    <w:rsid w:val="006B6D68"/>
    <w:rsid w:val="006B6F61"/>
    <w:rsid w:val="006C14E0"/>
    <w:rsid w:val="006C3B12"/>
    <w:rsid w:val="006C44DF"/>
    <w:rsid w:val="006C4633"/>
    <w:rsid w:val="006C5636"/>
    <w:rsid w:val="006C6C67"/>
    <w:rsid w:val="006C7287"/>
    <w:rsid w:val="006C79D3"/>
    <w:rsid w:val="006D06F9"/>
    <w:rsid w:val="006D0805"/>
    <w:rsid w:val="006D0AA8"/>
    <w:rsid w:val="006D2153"/>
    <w:rsid w:val="006D2870"/>
    <w:rsid w:val="006D4517"/>
    <w:rsid w:val="006D5F3A"/>
    <w:rsid w:val="006D6BCD"/>
    <w:rsid w:val="006D7A97"/>
    <w:rsid w:val="006D7AF1"/>
    <w:rsid w:val="006D7B5A"/>
    <w:rsid w:val="006E0925"/>
    <w:rsid w:val="006E1E9E"/>
    <w:rsid w:val="006E21DA"/>
    <w:rsid w:val="006E4279"/>
    <w:rsid w:val="006E4913"/>
    <w:rsid w:val="006E5555"/>
    <w:rsid w:val="006E5A3B"/>
    <w:rsid w:val="006E5B47"/>
    <w:rsid w:val="006E5C5D"/>
    <w:rsid w:val="006E78BA"/>
    <w:rsid w:val="006E7DAC"/>
    <w:rsid w:val="006F1295"/>
    <w:rsid w:val="006F15CC"/>
    <w:rsid w:val="006F1CCA"/>
    <w:rsid w:val="006F2C0E"/>
    <w:rsid w:val="006F4F09"/>
    <w:rsid w:val="006F508D"/>
    <w:rsid w:val="006F51CE"/>
    <w:rsid w:val="006F63C0"/>
    <w:rsid w:val="006F640B"/>
    <w:rsid w:val="0070043C"/>
    <w:rsid w:val="007004B5"/>
    <w:rsid w:val="007046FB"/>
    <w:rsid w:val="00704C2C"/>
    <w:rsid w:val="00705A61"/>
    <w:rsid w:val="0070655C"/>
    <w:rsid w:val="00710424"/>
    <w:rsid w:val="007109F6"/>
    <w:rsid w:val="00711F62"/>
    <w:rsid w:val="007133CB"/>
    <w:rsid w:val="00713F83"/>
    <w:rsid w:val="00714ED2"/>
    <w:rsid w:val="00715F45"/>
    <w:rsid w:val="00716604"/>
    <w:rsid w:val="00716A52"/>
    <w:rsid w:val="0071719A"/>
    <w:rsid w:val="0071726D"/>
    <w:rsid w:val="007176A7"/>
    <w:rsid w:val="007178FF"/>
    <w:rsid w:val="007204B4"/>
    <w:rsid w:val="00720781"/>
    <w:rsid w:val="0072091B"/>
    <w:rsid w:val="00722B07"/>
    <w:rsid w:val="00722BC9"/>
    <w:rsid w:val="00723632"/>
    <w:rsid w:val="007238DA"/>
    <w:rsid w:val="00725052"/>
    <w:rsid w:val="00725342"/>
    <w:rsid w:val="0072534D"/>
    <w:rsid w:val="00725C3B"/>
    <w:rsid w:val="00725F39"/>
    <w:rsid w:val="00727027"/>
    <w:rsid w:val="0073000D"/>
    <w:rsid w:val="0073022F"/>
    <w:rsid w:val="00731DF1"/>
    <w:rsid w:val="00731F2B"/>
    <w:rsid w:val="0073409B"/>
    <w:rsid w:val="00734105"/>
    <w:rsid w:val="00734AFD"/>
    <w:rsid w:val="00735E32"/>
    <w:rsid w:val="00736BEA"/>
    <w:rsid w:val="007375D0"/>
    <w:rsid w:val="00740095"/>
    <w:rsid w:val="0074159C"/>
    <w:rsid w:val="00742862"/>
    <w:rsid w:val="00742FD0"/>
    <w:rsid w:val="007432EF"/>
    <w:rsid w:val="00743FE9"/>
    <w:rsid w:val="0074497D"/>
    <w:rsid w:val="00745DD0"/>
    <w:rsid w:val="00745F44"/>
    <w:rsid w:val="00746455"/>
    <w:rsid w:val="00746F96"/>
    <w:rsid w:val="0074770C"/>
    <w:rsid w:val="00750405"/>
    <w:rsid w:val="007507C1"/>
    <w:rsid w:val="00751546"/>
    <w:rsid w:val="007541CE"/>
    <w:rsid w:val="007545E5"/>
    <w:rsid w:val="00755577"/>
    <w:rsid w:val="00755878"/>
    <w:rsid w:val="00756B91"/>
    <w:rsid w:val="00757E96"/>
    <w:rsid w:val="00760A86"/>
    <w:rsid w:val="00761F5F"/>
    <w:rsid w:val="0076741B"/>
    <w:rsid w:val="00770C0E"/>
    <w:rsid w:val="00771D19"/>
    <w:rsid w:val="0077277F"/>
    <w:rsid w:val="00774584"/>
    <w:rsid w:val="007747BE"/>
    <w:rsid w:val="00781625"/>
    <w:rsid w:val="00781792"/>
    <w:rsid w:val="00781A3A"/>
    <w:rsid w:val="00782512"/>
    <w:rsid w:val="007826B4"/>
    <w:rsid w:val="00783557"/>
    <w:rsid w:val="0078405C"/>
    <w:rsid w:val="00784D8F"/>
    <w:rsid w:val="00785A6D"/>
    <w:rsid w:val="00786B68"/>
    <w:rsid w:val="007874FB"/>
    <w:rsid w:val="007915AD"/>
    <w:rsid w:val="00792CC3"/>
    <w:rsid w:val="00794013"/>
    <w:rsid w:val="007947C6"/>
    <w:rsid w:val="00794CF3"/>
    <w:rsid w:val="00794E4C"/>
    <w:rsid w:val="00795109"/>
    <w:rsid w:val="0079614E"/>
    <w:rsid w:val="007A0160"/>
    <w:rsid w:val="007A027B"/>
    <w:rsid w:val="007A327D"/>
    <w:rsid w:val="007A3937"/>
    <w:rsid w:val="007A40C6"/>
    <w:rsid w:val="007A4B43"/>
    <w:rsid w:val="007A4F20"/>
    <w:rsid w:val="007A66CB"/>
    <w:rsid w:val="007A67F3"/>
    <w:rsid w:val="007A6AA0"/>
    <w:rsid w:val="007A6B19"/>
    <w:rsid w:val="007B0E88"/>
    <w:rsid w:val="007B3045"/>
    <w:rsid w:val="007B391E"/>
    <w:rsid w:val="007B45EC"/>
    <w:rsid w:val="007B49DF"/>
    <w:rsid w:val="007B4B6D"/>
    <w:rsid w:val="007B4DB3"/>
    <w:rsid w:val="007B5296"/>
    <w:rsid w:val="007B655B"/>
    <w:rsid w:val="007B67AD"/>
    <w:rsid w:val="007B7639"/>
    <w:rsid w:val="007C00BA"/>
    <w:rsid w:val="007C1254"/>
    <w:rsid w:val="007C1606"/>
    <w:rsid w:val="007C18F2"/>
    <w:rsid w:val="007C1AC1"/>
    <w:rsid w:val="007C1FEC"/>
    <w:rsid w:val="007C41F2"/>
    <w:rsid w:val="007C46D1"/>
    <w:rsid w:val="007C5731"/>
    <w:rsid w:val="007C5C1C"/>
    <w:rsid w:val="007C5E71"/>
    <w:rsid w:val="007C730D"/>
    <w:rsid w:val="007C7393"/>
    <w:rsid w:val="007D0C6A"/>
    <w:rsid w:val="007D391B"/>
    <w:rsid w:val="007D3B29"/>
    <w:rsid w:val="007D43E6"/>
    <w:rsid w:val="007D4EC6"/>
    <w:rsid w:val="007D5CD8"/>
    <w:rsid w:val="007D6974"/>
    <w:rsid w:val="007D7780"/>
    <w:rsid w:val="007E0468"/>
    <w:rsid w:val="007E06B8"/>
    <w:rsid w:val="007E0A4B"/>
    <w:rsid w:val="007E326A"/>
    <w:rsid w:val="007E3EDF"/>
    <w:rsid w:val="007E4CDB"/>
    <w:rsid w:val="007E541D"/>
    <w:rsid w:val="007E548B"/>
    <w:rsid w:val="007F0468"/>
    <w:rsid w:val="007F0994"/>
    <w:rsid w:val="007F1028"/>
    <w:rsid w:val="007F12E2"/>
    <w:rsid w:val="007F1637"/>
    <w:rsid w:val="007F1B11"/>
    <w:rsid w:val="007F1FBA"/>
    <w:rsid w:val="007F4488"/>
    <w:rsid w:val="007F4ABD"/>
    <w:rsid w:val="007F4E8F"/>
    <w:rsid w:val="007F694C"/>
    <w:rsid w:val="007F7212"/>
    <w:rsid w:val="007F74CA"/>
    <w:rsid w:val="007F7B5C"/>
    <w:rsid w:val="00800307"/>
    <w:rsid w:val="00800365"/>
    <w:rsid w:val="00800399"/>
    <w:rsid w:val="00800A09"/>
    <w:rsid w:val="008014EC"/>
    <w:rsid w:val="00801F39"/>
    <w:rsid w:val="0080235B"/>
    <w:rsid w:val="0080294E"/>
    <w:rsid w:val="008029BA"/>
    <w:rsid w:val="00804FC7"/>
    <w:rsid w:val="008075EA"/>
    <w:rsid w:val="00807DD1"/>
    <w:rsid w:val="00810C9D"/>
    <w:rsid w:val="008111C3"/>
    <w:rsid w:val="008125BE"/>
    <w:rsid w:val="00812CF5"/>
    <w:rsid w:val="00813471"/>
    <w:rsid w:val="00814198"/>
    <w:rsid w:val="00814390"/>
    <w:rsid w:val="00814679"/>
    <w:rsid w:val="00814849"/>
    <w:rsid w:val="00820EE3"/>
    <w:rsid w:val="00821B02"/>
    <w:rsid w:val="00821F46"/>
    <w:rsid w:val="00822050"/>
    <w:rsid w:val="00822B92"/>
    <w:rsid w:val="00825488"/>
    <w:rsid w:val="00825653"/>
    <w:rsid w:val="00825D4F"/>
    <w:rsid w:val="00827DBA"/>
    <w:rsid w:val="00830D57"/>
    <w:rsid w:val="00832A31"/>
    <w:rsid w:val="008346B1"/>
    <w:rsid w:val="008354A1"/>
    <w:rsid w:val="00835916"/>
    <w:rsid w:val="0083615A"/>
    <w:rsid w:val="0083650C"/>
    <w:rsid w:val="0084045B"/>
    <w:rsid w:val="00841B72"/>
    <w:rsid w:val="0084645A"/>
    <w:rsid w:val="0084658D"/>
    <w:rsid w:val="0084695E"/>
    <w:rsid w:val="0084755C"/>
    <w:rsid w:val="00850166"/>
    <w:rsid w:val="00850650"/>
    <w:rsid w:val="00850E5D"/>
    <w:rsid w:val="00851E91"/>
    <w:rsid w:val="008524C4"/>
    <w:rsid w:val="0085268C"/>
    <w:rsid w:val="00854ABD"/>
    <w:rsid w:val="00856ED6"/>
    <w:rsid w:val="00857614"/>
    <w:rsid w:val="00861070"/>
    <w:rsid w:val="0086275F"/>
    <w:rsid w:val="00862CAD"/>
    <w:rsid w:val="00864A50"/>
    <w:rsid w:val="00865C11"/>
    <w:rsid w:val="00866290"/>
    <w:rsid w:val="00866978"/>
    <w:rsid w:val="00866CD7"/>
    <w:rsid w:val="00866D9F"/>
    <w:rsid w:val="00867245"/>
    <w:rsid w:val="00871D3C"/>
    <w:rsid w:val="00872129"/>
    <w:rsid w:val="00872D1B"/>
    <w:rsid w:val="00872DC6"/>
    <w:rsid w:val="008730BC"/>
    <w:rsid w:val="00873ABC"/>
    <w:rsid w:val="0087451E"/>
    <w:rsid w:val="00874D66"/>
    <w:rsid w:val="0087590B"/>
    <w:rsid w:val="00876AD9"/>
    <w:rsid w:val="00876BDD"/>
    <w:rsid w:val="00877A7A"/>
    <w:rsid w:val="00877D54"/>
    <w:rsid w:val="00880394"/>
    <w:rsid w:val="0088208A"/>
    <w:rsid w:val="00882EAC"/>
    <w:rsid w:val="0088306B"/>
    <w:rsid w:val="00883B41"/>
    <w:rsid w:val="008843A6"/>
    <w:rsid w:val="008874FC"/>
    <w:rsid w:val="0088798F"/>
    <w:rsid w:val="00890B69"/>
    <w:rsid w:val="0089248A"/>
    <w:rsid w:val="008933DC"/>
    <w:rsid w:val="008936B3"/>
    <w:rsid w:val="00893807"/>
    <w:rsid w:val="00893890"/>
    <w:rsid w:val="00894515"/>
    <w:rsid w:val="008957E4"/>
    <w:rsid w:val="008958D8"/>
    <w:rsid w:val="00896489"/>
    <w:rsid w:val="00896FD1"/>
    <w:rsid w:val="008976A7"/>
    <w:rsid w:val="008A0E63"/>
    <w:rsid w:val="008A114F"/>
    <w:rsid w:val="008A2257"/>
    <w:rsid w:val="008A2C50"/>
    <w:rsid w:val="008A33CE"/>
    <w:rsid w:val="008A3903"/>
    <w:rsid w:val="008B0362"/>
    <w:rsid w:val="008B1F88"/>
    <w:rsid w:val="008B2644"/>
    <w:rsid w:val="008B298E"/>
    <w:rsid w:val="008B2B89"/>
    <w:rsid w:val="008B31AB"/>
    <w:rsid w:val="008B31D3"/>
    <w:rsid w:val="008B3213"/>
    <w:rsid w:val="008B333F"/>
    <w:rsid w:val="008B383F"/>
    <w:rsid w:val="008B38AD"/>
    <w:rsid w:val="008B3FBF"/>
    <w:rsid w:val="008B44DA"/>
    <w:rsid w:val="008B4A06"/>
    <w:rsid w:val="008B4CBC"/>
    <w:rsid w:val="008B5C9A"/>
    <w:rsid w:val="008B5CEA"/>
    <w:rsid w:val="008B694C"/>
    <w:rsid w:val="008C00E7"/>
    <w:rsid w:val="008C0F42"/>
    <w:rsid w:val="008C1149"/>
    <w:rsid w:val="008C168A"/>
    <w:rsid w:val="008C1EF2"/>
    <w:rsid w:val="008C2F43"/>
    <w:rsid w:val="008C38EB"/>
    <w:rsid w:val="008C3B68"/>
    <w:rsid w:val="008C5253"/>
    <w:rsid w:val="008C5686"/>
    <w:rsid w:val="008C65AC"/>
    <w:rsid w:val="008C6BFB"/>
    <w:rsid w:val="008C6D1F"/>
    <w:rsid w:val="008C7321"/>
    <w:rsid w:val="008C74DA"/>
    <w:rsid w:val="008C7C59"/>
    <w:rsid w:val="008D094A"/>
    <w:rsid w:val="008D132A"/>
    <w:rsid w:val="008D1E99"/>
    <w:rsid w:val="008D2B6E"/>
    <w:rsid w:val="008D394A"/>
    <w:rsid w:val="008D6465"/>
    <w:rsid w:val="008E150C"/>
    <w:rsid w:val="008E1EFC"/>
    <w:rsid w:val="008E4F5C"/>
    <w:rsid w:val="008E58BF"/>
    <w:rsid w:val="008F0512"/>
    <w:rsid w:val="008F19A4"/>
    <w:rsid w:val="008F1A81"/>
    <w:rsid w:val="008F2125"/>
    <w:rsid w:val="008F3B73"/>
    <w:rsid w:val="008F7D0D"/>
    <w:rsid w:val="00900CE5"/>
    <w:rsid w:val="00901E9B"/>
    <w:rsid w:val="00902C6A"/>
    <w:rsid w:val="0090415F"/>
    <w:rsid w:val="00904CA9"/>
    <w:rsid w:val="00905911"/>
    <w:rsid w:val="00906090"/>
    <w:rsid w:val="00906476"/>
    <w:rsid w:val="00906A9A"/>
    <w:rsid w:val="00907061"/>
    <w:rsid w:val="00907834"/>
    <w:rsid w:val="0090788B"/>
    <w:rsid w:val="009079B2"/>
    <w:rsid w:val="00907A5D"/>
    <w:rsid w:val="009118A0"/>
    <w:rsid w:val="00911C28"/>
    <w:rsid w:val="00913D48"/>
    <w:rsid w:val="00913D96"/>
    <w:rsid w:val="009145F6"/>
    <w:rsid w:val="00917246"/>
    <w:rsid w:val="00917547"/>
    <w:rsid w:val="0091759A"/>
    <w:rsid w:val="00920540"/>
    <w:rsid w:val="00920F36"/>
    <w:rsid w:val="00922697"/>
    <w:rsid w:val="00922F8C"/>
    <w:rsid w:val="0092325A"/>
    <w:rsid w:val="00924BD8"/>
    <w:rsid w:val="009262FA"/>
    <w:rsid w:val="0092657B"/>
    <w:rsid w:val="00927A82"/>
    <w:rsid w:val="009314DA"/>
    <w:rsid w:val="00931700"/>
    <w:rsid w:val="009335B7"/>
    <w:rsid w:val="00933951"/>
    <w:rsid w:val="00935B43"/>
    <w:rsid w:val="009364E2"/>
    <w:rsid w:val="009371D6"/>
    <w:rsid w:val="00937BFF"/>
    <w:rsid w:val="009400A1"/>
    <w:rsid w:val="009410FA"/>
    <w:rsid w:val="00941614"/>
    <w:rsid w:val="009430F7"/>
    <w:rsid w:val="00945D30"/>
    <w:rsid w:val="00946916"/>
    <w:rsid w:val="00947045"/>
    <w:rsid w:val="009475A6"/>
    <w:rsid w:val="0094793F"/>
    <w:rsid w:val="00950842"/>
    <w:rsid w:val="00950C28"/>
    <w:rsid w:val="00951993"/>
    <w:rsid w:val="0095216E"/>
    <w:rsid w:val="00952D7A"/>
    <w:rsid w:val="00953E57"/>
    <w:rsid w:val="00954170"/>
    <w:rsid w:val="0095420F"/>
    <w:rsid w:val="00954CC0"/>
    <w:rsid w:val="00954CC5"/>
    <w:rsid w:val="00955BB4"/>
    <w:rsid w:val="00955C25"/>
    <w:rsid w:val="00956BB5"/>
    <w:rsid w:val="009572E5"/>
    <w:rsid w:val="00957676"/>
    <w:rsid w:val="009617E7"/>
    <w:rsid w:val="009621B2"/>
    <w:rsid w:val="00963A1A"/>
    <w:rsid w:val="00963E1E"/>
    <w:rsid w:val="00964590"/>
    <w:rsid w:val="009653DC"/>
    <w:rsid w:val="0096654A"/>
    <w:rsid w:val="009677E3"/>
    <w:rsid w:val="00971187"/>
    <w:rsid w:val="00971196"/>
    <w:rsid w:val="009727AA"/>
    <w:rsid w:val="00973755"/>
    <w:rsid w:val="00976040"/>
    <w:rsid w:val="0097729B"/>
    <w:rsid w:val="00980736"/>
    <w:rsid w:val="009807A1"/>
    <w:rsid w:val="00981704"/>
    <w:rsid w:val="0098175A"/>
    <w:rsid w:val="0098182C"/>
    <w:rsid w:val="00981D80"/>
    <w:rsid w:val="00983F39"/>
    <w:rsid w:val="00984390"/>
    <w:rsid w:val="00985839"/>
    <w:rsid w:val="0099125B"/>
    <w:rsid w:val="00992952"/>
    <w:rsid w:val="00992D61"/>
    <w:rsid w:val="00995929"/>
    <w:rsid w:val="00995C91"/>
    <w:rsid w:val="00995EE7"/>
    <w:rsid w:val="00996652"/>
    <w:rsid w:val="00996BF1"/>
    <w:rsid w:val="00997009"/>
    <w:rsid w:val="0099745E"/>
    <w:rsid w:val="009A03A3"/>
    <w:rsid w:val="009A2ACF"/>
    <w:rsid w:val="009A306E"/>
    <w:rsid w:val="009A481E"/>
    <w:rsid w:val="009A5D1F"/>
    <w:rsid w:val="009B0257"/>
    <w:rsid w:val="009B03BC"/>
    <w:rsid w:val="009B06F1"/>
    <w:rsid w:val="009B3397"/>
    <w:rsid w:val="009B34F2"/>
    <w:rsid w:val="009B3C36"/>
    <w:rsid w:val="009B51E3"/>
    <w:rsid w:val="009B5654"/>
    <w:rsid w:val="009B5EC1"/>
    <w:rsid w:val="009B7220"/>
    <w:rsid w:val="009B76CB"/>
    <w:rsid w:val="009B7D6C"/>
    <w:rsid w:val="009C04EB"/>
    <w:rsid w:val="009C1AD6"/>
    <w:rsid w:val="009C28E1"/>
    <w:rsid w:val="009C2915"/>
    <w:rsid w:val="009C2E55"/>
    <w:rsid w:val="009C3D06"/>
    <w:rsid w:val="009C3DB4"/>
    <w:rsid w:val="009C3F13"/>
    <w:rsid w:val="009C43FC"/>
    <w:rsid w:val="009C5A80"/>
    <w:rsid w:val="009C5F03"/>
    <w:rsid w:val="009C7C8F"/>
    <w:rsid w:val="009D0450"/>
    <w:rsid w:val="009D1594"/>
    <w:rsid w:val="009D1FBA"/>
    <w:rsid w:val="009D332F"/>
    <w:rsid w:val="009D580B"/>
    <w:rsid w:val="009D6294"/>
    <w:rsid w:val="009D7B82"/>
    <w:rsid w:val="009E024C"/>
    <w:rsid w:val="009E05B6"/>
    <w:rsid w:val="009E590F"/>
    <w:rsid w:val="009E6ACF"/>
    <w:rsid w:val="009F0C32"/>
    <w:rsid w:val="009F1649"/>
    <w:rsid w:val="009F26BC"/>
    <w:rsid w:val="009F461F"/>
    <w:rsid w:val="00A006D3"/>
    <w:rsid w:val="00A01305"/>
    <w:rsid w:val="00A01EEF"/>
    <w:rsid w:val="00A0259C"/>
    <w:rsid w:val="00A036CB"/>
    <w:rsid w:val="00A0546A"/>
    <w:rsid w:val="00A05EC0"/>
    <w:rsid w:val="00A061CA"/>
    <w:rsid w:val="00A06AAA"/>
    <w:rsid w:val="00A07A49"/>
    <w:rsid w:val="00A10E38"/>
    <w:rsid w:val="00A11502"/>
    <w:rsid w:val="00A11CD1"/>
    <w:rsid w:val="00A12ECE"/>
    <w:rsid w:val="00A135B3"/>
    <w:rsid w:val="00A1434D"/>
    <w:rsid w:val="00A14953"/>
    <w:rsid w:val="00A167B9"/>
    <w:rsid w:val="00A16CDB"/>
    <w:rsid w:val="00A176A1"/>
    <w:rsid w:val="00A17DB5"/>
    <w:rsid w:val="00A20A09"/>
    <w:rsid w:val="00A20C64"/>
    <w:rsid w:val="00A224C0"/>
    <w:rsid w:val="00A22A14"/>
    <w:rsid w:val="00A23526"/>
    <w:rsid w:val="00A27149"/>
    <w:rsid w:val="00A2793B"/>
    <w:rsid w:val="00A30105"/>
    <w:rsid w:val="00A31ADE"/>
    <w:rsid w:val="00A31FA7"/>
    <w:rsid w:val="00A348D2"/>
    <w:rsid w:val="00A35D3C"/>
    <w:rsid w:val="00A3616F"/>
    <w:rsid w:val="00A377FE"/>
    <w:rsid w:val="00A40E0E"/>
    <w:rsid w:val="00A41C95"/>
    <w:rsid w:val="00A42739"/>
    <w:rsid w:val="00A43393"/>
    <w:rsid w:val="00A43649"/>
    <w:rsid w:val="00A442F1"/>
    <w:rsid w:val="00A46ABD"/>
    <w:rsid w:val="00A46C18"/>
    <w:rsid w:val="00A470CE"/>
    <w:rsid w:val="00A47F1E"/>
    <w:rsid w:val="00A50344"/>
    <w:rsid w:val="00A503E9"/>
    <w:rsid w:val="00A50E65"/>
    <w:rsid w:val="00A52058"/>
    <w:rsid w:val="00A52E2E"/>
    <w:rsid w:val="00A52F63"/>
    <w:rsid w:val="00A55536"/>
    <w:rsid w:val="00A5613C"/>
    <w:rsid w:val="00A56CA0"/>
    <w:rsid w:val="00A570EE"/>
    <w:rsid w:val="00A57C48"/>
    <w:rsid w:val="00A57EB2"/>
    <w:rsid w:val="00A608F5"/>
    <w:rsid w:val="00A62463"/>
    <w:rsid w:val="00A6391E"/>
    <w:rsid w:val="00A63C0B"/>
    <w:rsid w:val="00A649D3"/>
    <w:rsid w:val="00A656FD"/>
    <w:rsid w:val="00A6645C"/>
    <w:rsid w:val="00A66A68"/>
    <w:rsid w:val="00A67837"/>
    <w:rsid w:val="00A70423"/>
    <w:rsid w:val="00A70863"/>
    <w:rsid w:val="00A721B8"/>
    <w:rsid w:val="00A727FC"/>
    <w:rsid w:val="00A72E35"/>
    <w:rsid w:val="00A7300A"/>
    <w:rsid w:val="00A7414F"/>
    <w:rsid w:val="00A758CB"/>
    <w:rsid w:val="00A7627C"/>
    <w:rsid w:val="00A81405"/>
    <w:rsid w:val="00A82114"/>
    <w:rsid w:val="00A82FF0"/>
    <w:rsid w:val="00A83207"/>
    <w:rsid w:val="00A83BED"/>
    <w:rsid w:val="00A8488F"/>
    <w:rsid w:val="00A85DA3"/>
    <w:rsid w:val="00A86BC6"/>
    <w:rsid w:val="00A87D4F"/>
    <w:rsid w:val="00A92670"/>
    <w:rsid w:val="00A92FDC"/>
    <w:rsid w:val="00A96434"/>
    <w:rsid w:val="00A96AAF"/>
    <w:rsid w:val="00A979BC"/>
    <w:rsid w:val="00A97F60"/>
    <w:rsid w:val="00AA03B1"/>
    <w:rsid w:val="00AA2944"/>
    <w:rsid w:val="00AA2A82"/>
    <w:rsid w:val="00AA3179"/>
    <w:rsid w:val="00AB0B41"/>
    <w:rsid w:val="00AB140A"/>
    <w:rsid w:val="00AB1635"/>
    <w:rsid w:val="00AB297D"/>
    <w:rsid w:val="00AB759C"/>
    <w:rsid w:val="00AB7830"/>
    <w:rsid w:val="00AC031E"/>
    <w:rsid w:val="00AC31F2"/>
    <w:rsid w:val="00AC3268"/>
    <w:rsid w:val="00AC35C4"/>
    <w:rsid w:val="00AC3DCF"/>
    <w:rsid w:val="00AC4154"/>
    <w:rsid w:val="00AC587E"/>
    <w:rsid w:val="00AD0413"/>
    <w:rsid w:val="00AD1058"/>
    <w:rsid w:val="00AD18B4"/>
    <w:rsid w:val="00AD4FB0"/>
    <w:rsid w:val="00AD7F13"/>
    <w:rsid w:val="00AE04A8"/>
    <w:rsid w:val="00AE117D"/>
    <w:rsid w:val="00AE1842"/>
    <w:rsid w:val="00AE1843"/>
    <w:rsid w:val="00AE1EEC"/>
    <w:rsid w:val="00AE23F9"/>
    <w:rsid w:val="00AE2430"/>
    <w:rsid w:val="00AE4000"/>
    <w:rsid w:val="00AE52CE"/>
    <w:rsid w:val="00AE5452"/>
    <w:rsid w:val="00AE5EF5"/>
    <w:rsid w:val="00AE6188"/>
    <w:rsid w:val="00AE7AF0"/>
    <w:rsid w:val="00AF03DC"/>
    <w:rsid w:val="00AF258A"/>
    <w:rsid w:val="00AF4AE5"/>
    <w:rsid w:val="00AF5783"/>
    <w:rsid w:val="00AF5D1E"/>
    <w:rsid w:val="00AF6D11"/>
    <w:rsid w:val="00AF76C6"/>
    <w:rsid w:val="00B0165E"/>
    <w:rsid w:val="00B01B17"/>
    <w:rsid w:val="00B04103"/>
    <w:rsid w:val="00B047E9"/>
    <w:rsid w:val="00B050FB"/>
    <w:rsid w:val="00B05867"/>
    <w:rsid w:val="00B07A1A"/>
    <w:rsid w:val="00B07BDD"/>
    <w:rsid w:val="00B10EC0"/>
    <w:rsid w:val="00B123FF"/>
    <w:rsid w:val="00B134B6"/>
    <w:rsid w:val="00B142F4"/>
    <w:rsid w:val="00B14448"/>
    <w:rsid w:val="00B16061"/>
    <w:rsid w:val="00B1645D"/>
    <w:rsid w:val="00B16CC2"/>
    <w:rsid w:val="00B17989"/>
    <w:rsid w:val="00B17C66"/>
    <w:rsid w:val="00B17DAF"/>
    <w:rsid w:val="00B17E1E"/>
    <w:rsid w:val="00B213A5"/>
    <w:rsid w:val="00B21C56"/>
    <w:rsid w:val="00B24AE7"/>
    <w:rsid w:val="00B25103"/>
    <w:rsid w:val="00B27A8F"/>
    <w:rsid w:val="00B27B2E"/>
    <w:rsid w:val="00B27CF4"/>
    <w:rsid w:val="00B31421"/>
    <w:rsid w:val="00B31D2B"/>
    <w:rsid w:val="00B31E2C"/>
    <w:rsid w:val="00B32E44"/>
    <w:rsid w:val="00B336AA"/>
    <w:rsid w:val="00B34173"/>
    <w:rsid w:val="00B34B98"/>
    <w:rsid w:val="00B3571B"/>
    <w:rsid w:val="00B362ED"/>
    <w:rsid w:val="00B36952"/>
    <w:rsid w:val="00B375B6"/>
    <w:rsid w:val="00B40432"/>
    <w:rsid w:val="00B410C1"/>
    <w:rsid w:val="00B41218"/>
    <w:rsid w:val="00B4166B"/>
    <w:rsid w:val="00B418ED"/>
    <w:rsid w:val="00B42554"/>
    <w:rsid w:val="00B42703"/>
    <w:rsid w:val="00B433FC"/>
    <w:rsid w:val="00B43502"/>
    <w:rsid w:val="00B4391E"/>
    <w:rsid w:val="00B43ED0"/>
    <w:rsid w:val="00B45081"/>
    <w:rsid w:val="00B4549F"/>
    <w:rsid w:val="00B46290"/>
    <w:rsid w:val="00B46384"/>
    <w:rsid w:val="00B46FA7"/>
    <w:rsid w:val="00B503D0"/>
    <w:rsid w:val="00B513B4"/>
    <w:rsid w:val="00B514DC"/>
    <w:rsid w:val="00B522AA"/>
    <w:rsid w:val="00B56E38"/>
    <w:rsid w:val="00B60A84"/>
    <w:rsid w:val="00B60AED"/>
    <w:rsid w:val="00B60B0D"/>
    <w:rsid w:val="00B610DD"/>
    <w:rsid w:val="00B61D65"/>
    <w:rsid w:val="00B627D5"/>
    <w:rsid w:val="00B62948"/>
    <w:rsid w:val="00B62AB3"/>
    <w:rsid w:val="00B63B5B"/>
    <w:rsid w:val="00B64AD4"/>
    <w:rsid w:val="00B64E8C"/>
    <w:rsid w:val="00B64E9D"/>
    <w:rsid w:val="00B6579A"/>
    <w:rsid w:val="00B65CCC"/>
    <w:rsid w:val="00B678D4"/>
    <w:rsid w:val="00B708E8"/>
    <w:rsid w:val="00B711F9"/>
    <w:rsid w:val="00B734FD"/>
    <w:rsid w:val="00B738CA"/>
    <w:rsid w:val="00B7404A"/>
    <w:rsid w:val="00B75AC6"/>
    <w:rsid w:val="00B773C5"/>
    <w:rsid w:val="00B77651"/>
    <w:rsid w:val="00B8144B"/>
    <w:rsid w:val="00B81F91"/>
    <w:rsid w:val="00B839BA"/>
    <w:rsid w:val="00B8685C"/>
    <w:rsid w:val="00B86A2D"/>
    <w:rsid w:val="00B86C35"/>
    <w:rsid w:val="00B86DD8"/>
    <w:rsid w:val="00B87C14"/>
    <w:rsid w:val="00B92703"/>
    <w:rsid w:val="00B92955"/>
    <w:rsid w:val="00B93072"/>
    <w:rsid w:val="00B94EFB"/>
    <w:rsid w:val="00B9564E"/>
    <w:rsid w:val="00B96525"/>
    <w:rsid w:val="00B974AE"/>
    <w:rsid w:val="00B97C18"/>
    <w:rsid w:val="00B97D50"/>
    <w:rsid w:val="00B97EC1"/>
    <w:rsid w:val="00BA1692"/>
    <w:rsid w:val="00BA1BBA"/>
    <w:rsid w:val="00BA2267"/>
    <w:rsid w:val="00BA2E58"/>
    <w:rsid w:val="00BA3548"/>
    <w:rsid w:val="00BA3C49"/>
    <w:rsid w:val="00BA5315"/>
    <w:rsid w:val="00BA54F1"/>
    <w:rsid w:val="00BA7A87"/>
    <w:rsid w:val="00BA7C33"/>
    <w:rsid w:val="00BB07FC"/>
    <w:rsid w:val="00BB0B67"/>
    <w:rsid w:val="00BB144E"/>
    <w:rsid w:val="00BB2970"/>
    <w:rsid w:val="00BC0139"/>
    <w:rsid w:val="00BC34F6"/>
    <w:rsid w:val="00BC4494"/>
    <w:rsid w:val="00BC4EF0"/>
    <w:rsid w:val="00BC6E99"/>
    <w:rsid w:val="00BC7C00"/>
    <w:rsid w:val="00BD0CA7"/>
    <w:rsid w:val="00BD1EFB"/>
    <w:rsid w:val="00BD223A"/>
    <w:rsid w:val="00BD2B9E"/>
    <w:rsid w:val="00BD57C8"/>
    <w:rsid w:val="00BD5879"/>
    <w:rsid w:val="00BD5A0C"/>
    <w:rsid w:val="00BD5A45"/>
    <w:rsid w:val="00BD5B58"/>
    <w:rsid w:val="00BD6DE1"/>
    <w:rsid w:val="00BD73F1"/>
    <w:rsid w:val="00BE0E15"/>
    <w:rsid w:val="00BE2683"/>
    <w:rsid w:val="00BE3711"/>
    <w:rsid w:val="00BE3D8C"/>
    <w:rsid w:val="00BE4D14"/>
    <w:rsid w:val="00BE5CF2"/>
    <w:rsid w:val="00BE72E5"/>
    <w:rsid w:val="00BF067E"/>
    <w:rsid w:val="00BF22E7"/>
    <w:rsid w:val="00BF2883"/>
    <w:rsid w:val="00BF63CC"/>
    <w:rsid w:val="00BF6A00"/>
    <w:rsid w:val="00BF6FA9"/>
    <w:rsid w:val="00BF7497"/>
    <w:rsid w:val="00BF7C90"/>
    <w:rsid w:val="00C00003"/>
    <w:rsid w:val="00C000AC"/>
    <w:rsid w:val="00C00429"/>
    <w:rsid w:val="00C00EEE"/>
    <w:rsid w:val="00C02033"/>
    <w:rsid w:val="00C02619"/>
    <w:rsid w:val="00C05FD9"/>
    <w:rsid w:val="00C06BBC"/>
    <w:rsid w:val="00C06C54"/>
    <w:rsid w:val="00C07703"/>
    <w:rsid w:val="00C07949"/>
    <w:rsid w:val="00C105ED"/>
    <w:rsid w:val="00C109F0"/>
    <w:rsid w:val="00C11211"/>
    <w:rsid w:val="00C11925"/>
    <w:rsid w:val="00C120C1"/>
    <w:rsid w:val="00C129D7"/>
    <w:rsid w:val="00C12B50"/>
    <w:rsid w:val="00C13AC2"/>
    <w:rsid w:val="00C13E18"/>
    <w:rsid w:val="00C16BE6"/>
    <w:rsid w:val="00C20BEA"/>
    <w:rsid w:val="00C21E38"/>
    <w:rsid w:val="00C21FA2"/>
    <w:rsid w:val="00C241D4"/>
    <w:rsid w:val="00C2433C"/>
    <w:rsid w:val="00C24C84"/>
    <w:rsid w:val="00C24D43"/>
    <w:rsid w:val="00C24F5B"/>
    <w:rsid w:val="00C250E8"/>
    <w:rsid w:val="00C26014"/>
    <w:rsid w:val="00C2620B"/>
    <w:rsid w:val="00C264F8"/>
    <w:rsid w:val="00C27BA5"/>
    <w:rsid w:val="00C27D23"/>
    <w:rsid w:val="00C31313"/>
    <w:rsid w:val="00C320B6"/>
    <w:rsid w:val="00C32874"/>
    <w:rsid w:val="00C33813"/>
    <w:rsid w:val="00C33E7B"/>
    <w:rsid w:val="00C37286"/>
    <w:rsid w:val="00C405D9"/>
    <w:rsid w:val="00C41668"/>
    <w:rsid w:val="00C4206E"/>
    <w:rsid w:val="00C431FA"/>
    <w:rsid w:val="00C43488"/>
    <w:rsid w:val="00C44F7A"/>
    <w:rsid w:val="00C452D9"/>
    <w:rsid w:val="00C45666"/>
    <w:rsid w:val="00C47754"/>
    <w:rsid w:val="00C47D30"/>
    <w:rsid w:val="00C500E2"/>
    <w:rsid w:val="00C5024B"/>
    <w:rsid w:val="00C508DF"/>
    <w:rsid w:val="00C515AA"/>
    <w:rsid w:val="00C52C5B"/>
    <w:rsid w:val="00C533BD"/>
    <w:rsid w:val="00C53E56"/>
    <w:rsid w:val="00C54452"/>
    <w:rsid w:val="00C557BA"/>
    <w:rsid w:val="00C55F9C"/>
    <w:rsid w:val="00C56774"/>
    <w:rsid w:val="00C5681E"/>
    <w:rsid w:val="00C5784C"/>
    <w:rsid w:val="00C600E8"/>
    <w:rsid w:val="00C62ECF"/>
    <w:rsid w:val="00C64618"/>
    <w:rsid w:val="00C66C40"/>
    <w:rsid w:val="00C67B70"/>
    <w:rsid w:val="00C70D0F"/>
    <w:rsid w:val="00C7219E"/>
    <w:rsid w:val="00C72DAA"/>
    <w:rsid w:val="00C745D1"/>
    <w:rsid w:val="00C74726"/>
    <w:rsid w:val="00C7546F"/>
    <w:rsid w:val="00C7758D"/>
    <w:rsid w:val="00C77777"/>
    <w:rsid w:val="00C82B5D"/>
    <w:rsid w:val="00C8318D"/>
    <w:rsid w:val="00C83387"/>
    <w:rsid w:val="00C8367E"/>
    <w:rsid w:val="00C83AA5"/>
    <w:rsid w:val="00C83C98"/>
    <w:rsid w:val="00C84986"/>
    <w:rsid w:val="00C8761B"/>
    <w:rsid w:val="00C8762A"/>
    <w:rsid w:val="00C913FF"/>
    <w:rsid w:val="00C941AD"/>
    <w:rsid w:val="00C9639A"/>
    <w:rsid w:val="00C977A3"/>
    <w:rsid w:val="00C97DC8"/>
    <w:rsid w:val="00CA0153"/>
    <w:rsid w:val="00CA04A9"/>
    <w:rsid w:val="00CA401C"/>
    <w:rsid w:val="00CA424D"/>
    <w:rsid w:val="00CA4CBC"/>
    <w:rsid w:val="00CA5BF5"/>
    <w:rsid w:val="00CA6175"/>
    <w:rsid w:val="00CA6DB5"/>
    <w:rsid w:val="00CA74D2"/>
    <w:rsid w:val="00CA77AC"/>
    <w:rsid w:val="00CA7C5D"/>
    <w:rsid w:val="00CB0514"/>
    <w:rsid w:val="00CB089A"/>
    <w:rsid w:val="00CB0974"/>
    <w:rsid w:val="00CB4525"/>
    <w:rsid w:val="00CB4FB7"/>
    <w:rsid w:val="00CB5434"/>
    <w:rsid w:val="00CB5719"/>
    <w:rsid w:val="00CB596E"/>
    <w:rsid w:val="00CB6DEB"/>
    <w:rsid w:val="00CB72AF"/>
    <w:rsid w:val="00CB7359"/>
    <w:rsid w:val="00CB7989"/>
    <w:rsid w:val="00CC0133"/>
    <w:rsid w:val="00CC0B13"/>
    <w:rsid w:val="00CC0BE0"/>
    <w:rsid w:val="00CC18C3"/>
    <w:rsid w:val="00CC4530"/>
    <w:rsid w:val="00CC56BB"/>
    <w:rsid w:val="00CC63DD"/>
    <w:rsid w:val="00CC6CA7"/>
    <w:rsid w:val="00CD18B1"/>
    <w:rsid w:val="00CD1D5F"/>
    <w:rsid w:val="00CD28D1"/>
    <w:rsid w:val="00CD29B7"/>
    <w:rsid w:val="00CD30D0"/>
    <w:rsid w:val="00CD54A9"/>
    <w:rsid w:val="00CE124A"/>
    <w:rsid w:val="00CE2A97"/>
    <w:rsid w:val="00CE370A"/>
    <w:rsid w:val="00CE45DD"/>
    <w:rsid w:val="00CE4D2A"/>
    <w:rsid w:val="00CF0155"/>
    <w:rsid w:val="00CF15DB"/>
    <w:rsid w:val="00CF1B8E"/>
    <w:rsid w:val="00CF2C23"/>
    <w:rsid w:val="00CF2EC3"/>
    <w:rsid w:val="00CF3927"/>
    <w:rsid w:val="00CF39E9"/>
    <w:rsid w:val="00CF3BCD"/>
    <w:rsid w:val="00CF44B0"/>
    <w:rsid w:val="00CF4C62"/>
    <w:rsid w:val="00CF4DED"/>
    <w:rsid w:val="00CF79CE"/>
    <w:rsid w:val="00D00B5B"/>
    <w:rsid w:val="00D0206C"/>
    <w:rsid w:val="00D0502F"/>
    <w:rsid w:val="00D0697C"/>
    <w:rsid w:val="00D06A84"/>
    <w:rsid w:val="00D07F62"/>
    <w:rsid w:val="00D10B90"/>
    <w:rsid w:val="00D113F1"/>
    <w:rsid w:val="00D118DA"/>
    <w:rsid w:val="00D12387"/>
    <w:rsid w:val="00D12577"/>
    <w:rsid w:val="00D13663"/>
    <w:rsid w:val="00D13E3F"/>
    <w:rsid w:val="00D149A1"/>
    <w:rsid w:val="00D14F2A"/>
    <w:rsid w:val="00D153AC"/>
    <w:rsid w:val="00D17284"/>
    <w:rsid w:val="00D17B15"/>
    <w:rsid w:val="00D20058"/>
    <w:rsid w:val="00D20884"/>
    <w:rsid w:val="00D20D3E"/>
    <w:rsid w:val="00D22687"/>
    <w:rsid w:val="00D24EDB"/>
    <w:rsid w:val="00D251BB"/>
    <w:rsid w:val="00D256D4"/>
    <w:rsid w:val="00D25C07"/>
    <w:rsid w:val="00D260E2"/>
    <w:rsid w:val="00D26951"/>
    <w:rsid w:val="00D2779E"/>
    <w:rsid w:val="00D27FD3"/>
    <w:rsid w:val="00D325C8"/>
    <w:rsid w:val="00D32759"/>
    <w:rsid w:val="00D340A4"/>
    <w:rsid w:val="00D340CA"/>
    <w:rsid w:val="00D34291"/>
    <w:rsid w:val="00D404D5"/>
    <w:rsid w:val="00D40A73"/>
    <w:rsid w:val="00D40EA0"/>
    <w:rsid w:val="00D41193"/>
    <w:rsid w:val="00D4162D"/>
    <w:rsid w:val="00D42391"/>
    <w:rsid w:val="00D4240E"/>
    <w:rsid w:val="00D42F1B"/>
    <w:rsid w:val="00D4392D"/>
    <w:rsid w:val="00D4472D"/>
    <w:rsid w:val="00D45F62"/>
    <w:rsid w:val="00D46793"/>
    <w:rsid w:val="00D5110F"/>
    <w:rsid w:val="00D513E0"/>
    <w:rsid w:val="00D5168F"/>
    <w:rsid w:val="00D524BC"/>
    <w:rsid w:val="00D5353F"/>
    <w:rsid w:val="00D541BE"/>
    <w:rsid w:val="00D546FB"/>
    <w:rsid w:val="00D54CB0"/>
    <w:rsid w:val="00D550D9"/>
    <w:rsid w:val="00D60AD8"/>
    <w:rsid w:val="00D6135D"/>
    <w:rsid w:val="00D61844"/>
    <w:rsid w:val="00D61AA5"/>
    <w:rsid w:val="00D652FC"/>
    <w:rsid w:val="00D6733D"/>
    <w:rsid w:val="00D71699"/>
    <w:rsid w:val="00D72B69"/>
    <w:rsid w:val="00D73493"/>
    <w:rsid w:val="00D74098"/>
    <w:rsid w:val="00D74264"/>
    <w:rsid w:val="00D749C9"/>
    <w:rsid w:val="00D74DEF"/>
    <w:rsid w:val="00D751B3"/>
    <w:rsid w:val="00D777C4"/>
    <w:rsid w:val="00D80578"/>
    <w:rsid w:val="00D8102F"/>
    <w:rsid w:val="00D81AA3"/>
    <w:rsid w:val="00D81C1F"/>
    <w:rsid w:val="00D822F6"/>
    <w:rsid w:val="00D83636"/>
    <w:rsid w:val="00D8553D"/>
    <w:rsid w:val="00D85F98"/>
    <w:rsid w:val="00D86162"/>
    <w:rsid w:val="00D86455"/>
    <w:rsid w:val="00D869C3"/>
    <w:rsid w:val="00D905D5"/>
    <w:rsid w:val="00D912FC"/>
    <w:rsid w:val="00D91AE1"/>
    <w:rsid w:val="00DA151F"/>
    <w:rsid w:val="00DA1684"/>
    <w:rsid w:val="00DA397A"/>
    <w:rsid w:val="00DA3B92"/>
    <w:rsid w:val="00DA4689"/>
    <w:rsid w:val="00DA474C"/>
    <w:rsid w:val="00DA4891"/>
    <w:rsid w:val="00DA4926"/>
    <w:rsid w:val="00DA6B7D"/>
    <w:rsid w:val="00DB02C0"/>
    <w:rsid w:val="00DB0357"/>
    <w:rsid w:val="00DB2227"/>
    <w:rsid w:val="00DB23F6"/>
    <w:rsid w:val="00DB284F"/>
    <w:rsid w:val="00DB39B4"/>
    <w:rsid w:val="00DB3E0A"/>
    <w:rsid w:val="00DB5D01"/>
    <w:rsid w:val="00DB79E4"/>
    <w:rsid w:val="00DC06A4"/>
    <w:rsid w:val="00DC0ACA"/>
    <w:rsid w:val="00DC1684"/>
    <w:rsid w:val="00DC2BF8"/>
    <w:rsid w:val="00DC3459"/>
    <w:rsid w:val="00DC3B22"/>
    <w:rsid w:val="00DD0D69"/>
    <w:rsid w:val="00DD26E3"/>
    <w:rsid w:val="00DD4EF2"/>
    <w:rsid w:val="00DD7636"/>
    <w:rsid w:val="00DE16CD"/>
    <w:rsid w:val="00DE32E5"/>
    <w:rsid w:val="00DE3605"/>
    <w:rsid w:val="00DE3946"/>
    <w:rsid w:val="00DE3C7B"/>
    <w:rsid w:val="00DE44DB"/>
    <w:rsid w:val="00DE4881"/>
    <w:rsid w:val="00DE4AD3"/>
    <w:rsid w:val="00DE5661"/>
    <w:rsid w:val="00DE68B4"/>
    <w:rsid w:val="00DF09B1"/>
    <w:rsid w:val="00DF14B9"/>
    <w:rsid w:val="00DF26B2"/>
    <w:rsid w:val="00DF4DDE"/>
    <w:rsid w:val="00DF5762"/>
    <w:rsid w:val="00DF73C4"/>
    <w:rsid w:val="00DF76B9"/>
    <w:rsid w:val="00E00BB7"/>
    <w:rsid w:val="00E01FF7"/>
    <w:rsid w:val="00E0292B"/>
    <w:rsid w:val="00E0320C"/>
    <w:rsid w:val="00E03565"/>
    <w:rsid w:val="00E03DC4"/>
    <w:rsid w:val="00E042A9"/>
    <w:rsid w:val="00E05889"/>
    <w:rsid w:val="00E05FC9"/>
    <w:rsid w:val="00E06183"/>
    <w:rsid w:val="00E072D8"/>
    <w:rsid w:val="00E10832"/>
    <w:rsid w:val="00E10C0D"/>
    <w:rsid w:val="00E117C6"/>
    <w:rsid w:val="00E11F6A"/>
    <w:rsid w:val="00E12E6A"/>
    <w:rsid w:val="00E14666"/>
    <w:rsid w:val="00E14EC2"/>
    <w:rsid w:val="00E151D6"/>
    <w:rsid w:val="00E15329"/>
    <w:rsid w:val="00E15664"/>
    <w:rsid w:val="00E15A03"/>
    <w:rsid w:val="00E167E1"/>
    <w:rsid w:val="00E21E8C"/>
    <w:rsid w:val="00E228D6"/>
    <w:rsid w:val="00E250B5"/>
    <w:rsid w:val="00E26155"/>
    <w:rsid w:val="00E2708D"/>
    <w:rsid w:val="00E270E6"/>
    <w:rsid w:val="00E2770A"/>
    <w:rsid w:val="00E30238"/>
    <w:rsid w:val="00E33737"/>
    <w:rsid w:val="00E33CD1"/>
    <w:rsid w:val="00E36C6E"/>
    <w:rsid w:val="00E40C06"/>
    <w:rsid w:val="00E40F6F"/>
    <w:rsid w:val="00E42717"/>
    <w:rsid w:val="00E43DFA"/>
    <w:rsid w:val="00E43E30"/>
    <w:rsid w:val="00E44250"/>
    <w:rsid w:val="00E45553"/>
    <w:rsid w:val="00E45A60"/>
    <w:rsid w:val="00E4639E"/>
    <w:rsid w:val="00E47E96"/>
    <w:rsid w:val="00E510DC"/>
    <w:rsid w:val="00E53631"/>
    <w:rsid w:val="00E5420C"/>
    <w:rsid w:val="00E56339"/>
    <w:rsid w:val="00E56ECC"/>
    <w:rsid w:val="00E572EF"/>
    <w:rsid w:val="00E5762D"/>
    <w:rsid w:val="00E57FEE"/>
    <w:rsid w:val="00E629C3"/>
    <w:rsid w:val="00E63001"/>
    <w:rsid w:val="00E6536A"/>
    <w:rsid w:val="00E667B4"/>
    <w:rsid w:val="00E67866"/>
    <w:rsid w:val="00E71134"/>
    <w:rsid w:val="00E715FD"/>
    <w:rsid w:val="00E71601"/>
    <w:rsid w:val="00E718F8"/>
    <w:rsid w:val="00E71F11"/>
    <w:rsid w:val="00E729F5"/>
    <w:rsid w:val="00E736B3"/>
    <w:rsid w:val="00E73C8D"/>
    <w:rsid w:val="00E758D8"/>
    <w:rsid w:val="00E75C18"/>
    <w:rsid w:val="00E76BE0"/>
    <w:rsid w:val="00E76DB1"/>
    <w:rsid w:val="00E76EAA"/>
    <w:rsid w:val="00E7728D"/>
    <w:rsid w:val="00E7795C"/>
    <w:rsid w:val="00E77F48"/>
    <w:rsid w:val="00E80B69"/>
    <w:rsid w:val="00E81991"/>
    <w:rsid w:val="00E83C37"/>
    <w:rsid w:val="00E87B8E"/>
    <w:rsid w:val="00E900D1"/>
    <w:rsid w:val="00E90673"/>
    <w:rsid w:val="00E91856"/>
    <w:rsid w:val="00E92149"/>
    <w:rsid w:val="00E92613"/>
    <w:rsid w:val="00E926EA"/>
    <w:rsid w:val="00E930E1"/>
    <w:rsid w:val="00E932CE"/>
    <w:rsid w:val="00E9330B"/>
    <w:rsid w:val="00E937F2"/>
    <w:rsid w:val="00E96BC6"/>
    <w:rsid w:val="00E96D3E"/>
    <w:rsid w:val="00E976C6"/>
    <w:rsid w:val="00EA00F3"/>
    <w:rsid w:val="00EA07A3"/>
    <w:rsid w:val="00EA0FFB"/>
    <w:rsid w:val="00EA1938"/>
    <w:rsid w:val="00EA1DF8"/>
    <w:rsid w:val="00EA2155"/>
    <w:rsid w:val="00EA3A4B"/>
    <w:rsid w:val="00EA4F03"/>
    <w:rsid w:val="00EA6C48"/>
    <w:rsid w:val="00EA71E1"/>
    <w:rsid w:val="00EB0107"/>
    <w:rsid w:val="00EB0AE8"/>
    <w:rsid w:val="00EB26CD"/>
    <w:rsid w:val="00EB3306"/>
    <w:rsid w:val="00EB3FB0"/>
    <w:rsid w:val="00EB435C"/>
    <w:rsid w:val="00EB4C4B"/>
    <w:rsid w:val="00EB4F26"/>
    <w:rsid w:val="00EB5A09"/>
    <w:rsid w:val="00EB5B49"/>
    <w:rsid w:val="00EB6DDD"/>
    <w:rsid w:val="00EB6E94"/>
    <w:rsid w:val="00EC1C37"/>
    <w:rsid w:val="00EC4220"/>
    <w:rsid w:val="00EC4A33"/>
    <w:rsid w:val="00EC4A87"/>
    <w:rsid w:val="00EC5E44"/>
    <w:rsid w:val="00EC6271"/>
    <w:rsid w:val="00EC7556"/>
    <w:rsid w:val="00EC7A99"/>
    <w:rsid w:val="00ED086D"/>
    <w:rsid w:val="00ED0F0B"/>
    <w:rsid w:val="00ED1036"/>
    <w:rsid w:val="00ED2EBC"/>
    <w:rsid w:val="00ED3AF2"/>
    <w:rsid w:val="00ED4242"/>
    <w:rsid w:val="00ED42A3"/>
    <w:rsid w:val="00ED4755"/>
    <w:rsid w:val="00ED584C"/>
    <w:rsid w:val="00ED7431"/>
    <w:rsid w:val="00EE0519"/>
    <w:rsid w:val="00EE2179"/>
    <w:rsid w:val="00EE2381"/>
    <w:rsid w:val="00EE3BFD"/>
    <w:rsid w:val="00EE5A58"/>
    <w:rsid w:val="00EE64AA"/>
    <w:rsid w:val="00EE77EC"/>
    <w:rsid w:val="00EF0CFD"/>
    <w:rsid w:val="00EF0E9B"/>
    <w:rsid w:val="00EF1BA6"/>
    <w:rsid w:val="00EF3AB4"/>
    <w:rsid w:val="00EF4866"/>
    <w:rsid w:val="00EF6708"/>
    <w:rsid w:val="00EF6DD7"/>
    <w:rsid w:val="00EF754F"/>
    <w:rsid w:val="00F004E9"/>
    <w:rsid w:val="00F010EE"/>
    <w:rsid w:val="00F02332"/>
    <w:rsid w:val="00F0467A"/>
    <w:rsid w:val="00F0649C"/>
    <w:rsid w:val="00F07952"/>
    <w:rsid w:val="00F10AC6"/>
    <w:rsid w:val="00F20E61"/>
    <w:rsid w:val="00F2303B"/>
    <w:rsid w:val="00F23656"/>
    <w:rsid w:val="00F238B5"/>
    <w:rsid w:val="00F257D4"/>
    <w:rsid w:val="00F25A44"/>
    <w:rsid w:val="00F25F45"/>
    <w:rsid w:val="00F26811"/>
    <w:rsid w:val="00F26C08"/>
    <w:rsid w:val="00F336CC"/>
    <w:rsid w:val="00F33EFF"/>
    <w:rsid w:val="00F34FD9"/>
    <w:rsid w:val="00F35B03"/>
    <w:rsid w:val="00F36121"/>
    <w:rsid w:val="00F36EA1"/>
    <w:rsid w:val="00F3743A"/>
    <w:rsid w:val="00F37FA5"/>
    <w:rsid w:val="00F40144"/>
    <w:rsid w:val="00F40265"/>
    <w:rsid w:val="00F42DF2"/>
    <w:rsid w:val="00F44415"/>
    <w:rsid w:val="00F44691"/>
    <w:rsid w:val="00F448CA"/>
    <w:rsid w:val="00F45123"/>
    <w:rsid w:val="00F4578F"/>
    <w:rsid w:val="00F46149"/>
    <w:rsid w:val="00F46952"/>
    <w:rsid w:val="00F50086"/>
    <w:rsid w:val="00F50497"/>
    <w:rsid w:val="00F52603"/>
    <w:rsid w:val="00F52760"/>
    <w:rsid w:val="00F52E2D"/>
    <w:rsid w:val="00F53303"/>
    <w:rsid w:val="00F5444B"/>
    <w:rsid w:val="00F608C1"/>
    <w:rsid w:val="00F60A53"/>
    <w:rsid w:val="00F60E69"/>
    <w:rsid w:val="00F61230"/>
    <w:rsid w:val="00F62F45"/>
    <w:rsid w:val="00F6309B"/>
    <w:rsid w:val="00F64615"/>
    <w:rsid w:val="00F65669"/>
    <w:rsid w:val="00F659BB"/>
    <w:rsid w:val="00F65E67"/>
    <w:rsid w:val="00F701B3"/>
    <w:rsid w:val="00F7123B"/>
    <w:rsid w:val="00F71993"/>
    <w:rsid w:val="00F72BBB"/>
    <w:rsid w:val="00F735E8"/>
    <w:rsid w:val="00F739F2"/>
    <w:rsid w:val="00F73CCF"/>
    <w:rsid w:val="00F74FE5"/>
    <w:rsid w:val="00F750B6"/>
    <w:rsid w:val="00F76B07"/>
    <w:rsid w:val="00F80AE3"/>
    <w:rsid w:val="00F8360A"/>
    <w:rsid w:val="00F83B96"/>
    <w:rsid w:val="00F845E6"/>
    <w:rsid w:val="00F849DF"/>
    <w:rsid w:val="00F8600D"/>
    <w:rsid w:val="00F8786B"/>
    <w:rsid w:val="00F90530"/>
    <w:rsid w:val="00F91D8A"/>
    <w:rsid w:val="00F93915"/>
    <w:rsid w:val="00F94304"/>
    <w:rsid w:val="00F9437B"/>
    <w:rsid w:val="00F943F5"/>
    <w:rsid w:val="00F94501"/>
    <w:rsid w:val="00F94AF9"/>
    <w:rsid w:val="00F94F1B"/>
    <w:rsid w:val="00F957AF"/>
    <w:rsid w:val="00F96174"/>
    <w:rsid w:val="00FA08E4"/>
    <w:rsid w:val="00FA1A11"/>
    <w:rsid w:val="00FA2515"/>
    <w:rsid w:val="00FA269B"/>
    <w:rsid w:val="00FA340A"/>
    <w:rsid w:val="00FA4024"/>
    <w:rsid w:val="00FA4F9B"/>
    <w:rsid w:val="00FA5DAA"/>
    <w:rsid w:val="00FA6B10"/>
    <w:rsid w:val="00FA710D"/>
    <w:rsid w:val="00FB0D18"/>
    <w:rsid w:val="00FB0D71"/>
    <w:rsid w:val="00FB1517"/>
    <w:rsid w:val="00FB390F"/>
    <w:rsid w:val="00FB4712"/>
    <w:rsid w:val="00FB4E49"/>
    <w:rsid w:val="00FB582F"/>
    <w:rsid w:val="00FB63B1"/>
    <w:rsid w:val="00FB6B5D"/>
    <w:rsid w:val="00FC082C"/>
    <w:rsid w:val="00FC12D1"/>
    <w:rsid w:val="00FC2426"/>
    <w:rsid w:val="00FC3210"/>
    <w:rsid w:val="00FC3827"/>
    <w:rsid w:val="00FC3AF0"/>
    <w:rsid w:val="00FC3BFD"/>
    <w:rsid w:val="00FC4B9F"/>
    <w:rsid w:val="00FC4DD0"/>
    <w:rsid w:val="00FC6110"/>
    <w:rsid w:val="00FC6196"/>
    <w:rsid w:val="00FC654F"/>
    <w:rsid w:val="00FC66FF"/>
    <w:rsid w:val="00FC77AF"/>
    <w:rsid w:val="00FC79C6"/>
    <w:rsid w:val="00FD00C2"/>
    <w:rsid w:val="00FD0991"/>
    <w:rsid w:val="00FD1226"/>
    <w:rsid w:val="00FD4AB2"/>
    <w:rsid w:val="00FD4FDA"/>
    <w:rsid w:val="00FD620B"/>
    <w:rsid w:val="00FD6B02"/>
    <w:rsid w:val="00FE0037"/>
    <w:rsid w:val="00FE0B7F"/>
    <w:rsid w:val="00FE0F32"/>
    <w:rsid w:val="00FE11DF"/>
    <w:rsid w:val="00FE2C69"/>
    <w:rsid w:val="00FE2E9C"/>
    <w:rsid w:val="00FE4EFF"/>
    <w:rsid w:val="00FE62AA"/>
    <w:rsid w:val="00FF047B"/>
    <w:rsid w:val="00FF2F1A"/>
    <w:rsid w:val="00FF2FB9"/>
    <w:rsid w:val="00FF364F"/>
    <w:rsid w:val="00FF41A6"/>
    <w:rsid w:val="00FF4768"/>
    <w:rsid w:val="00FF74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9A09A"/>
  <w15:docId w15:val="{07CD536A-1E75-4B16-8266-A39025BD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next w:val="F2-zkladn"/>
    <w:qFormat/>
    <w:rsid w:val="004202CB"/>
    <w:pPr>
      <w:spacing w:before="240" w:line="300" w:lineRule="exact"/>
      <w:jc w:val="both"/>
    </w:pPr>
    <w:rPr>
      <w:rFonts w:ascii="Arial" w:hAnsi="Arial" w:cs="Arial"/>
    </w:rPr>
  </w:style>
  <w:style w:type="paragraph" w:styleId="Nadpis1">
    <w:name w:val="heading 1"/>
    <w:aliases w:val="F10 - Nadpis 1"/>
    <w:basedOn w:val="Normln"/>
    <w:next w:val="Normln"/>
    <w:qFormat/>
    <w:rsid w:val="00794E4C"/>
    <w:pPr>
      <w:keepNext/>
      <w:spacing w:after="60"/>
      <w:outlineLvl w:val="0"/>
    </w:pPr>
    <w:rPr>
      <w:b/>
      <w:bCs/>
      <w:kern w:val="32"/>
      <w:sz w:val="32"/>
      <w:szCs w:val="32"/>
    </w:rPr>
  </w:style>
  <w:style w:type="paragraph" w:styleId="Nadpis2">
    <w:name w:val="heading 2"/>
    <w:aliases w:val="F9 - Nadpis 2"/>
    <w:basedOn w:val="Normln"/>
    <w:next w:val="Normln"/>
    <w:qFormat/>
    <w:rsid w:val="00F94AF9"/>
    <w:pPr>
      <w:keepNext/>
      <w:numPr>
        <w:ilvl w:val="1"/>
        <w:numId w:val="4"/>
      </w:numPr>
      <w:spacing w:after="60"/>
      <w:outlineLvl w:val="1"/>
    </w:pPr>
    <w:rPr>
      <w:b/>
      <w:bCs/>
      <w:i/>
      <w:iCs/>
      <w:sz w:val="28"/>
      <w:szCs w:val="28"/>
    </w:rPr>
  </w:style>
  <w:style w:type="paragraph" w:styleId="Nadpis3">
    <w:name w:val="heading 3"/>
    <w:aliases w:val="F8 - Nadpis 3"/>
    <w:basedOn w:val="Normln"/>
    <w:next w:val="Normln"/>
    <w:qFormat/>
    <w:rsid w:val="002B6FCD"/>
    <w:pPr>
      <w:keepNext/>
      <w:numPr>
        <w:ilvl w:val="2"/>
        <w:numId w:val="5"/>
      </w:numPr>
      <w:spacing w:after="60"/>
      <w:outlineLvl w:val="2"/>
    </w:pPr>
    <w:rPr>
      <w:b/>
      <w:bCs/>
      <w:sz w:val="26"/>
      <w:szCs w:val="26"/>
    </w:rPr>
  </w:style>
  <w:style w:type="paragraph" w:styleId="Nadpis4">
    <w:name w:val="heading 4"/>
    <w:basedOn w:val="Normln"/>
    <w:next w:val="Normln"/>
    <w:qFormat/>
    <w:rsid w:val="00C5024B"/>
    <w:pPr>
      <w:keepNext/>
      <w:spacing w:after="60"/>
      <w:outlineLvl w:val="3"/>
    </w:pPr>
    <w:rPr>
      <w:b/>
      <w:bCs/>
      <w:sz w:val="28"/>
      <w:szCs w:val="28"/>
    </w:rPr>
  </w:style>
  <w:style w:type="paragraph" w:styleId="Nadpis5">
    <w:name w:val="heading 5"/>
    <w:basedOn w:val="Normln"/>
    <w:next w:val="Normln"/>
    <w:qFormat/>
    <w:rsid w:val="00C5024B"/>
    <w:pPr>
      <w:numPr>
        <w:ilvl w:val="4"/>
        <w:numId w:val="6"/>
      </w:numPr>
      <w:spacing w:after="60"/>
      <w:outlineLvl w:val="4"/>
    </w:pPr>
    <w:rPr>
      <w:b/>
      <w:bCs/>
      <w:i/>
      <w:iCs/>
      <w:sz w:val="26"/>
      <w:szCs w:val="26"/>
    </w:rPr>
  </w:style>
  <w:style w:type="paragraph" w:styleId="Nadpis6">
    <w:name w:val="heading 6"/>
    <w:basedOn w:val="Normln"/>
    <w:next w:val="Normln"/>
    <w:qFormat/>
    <w:rsid w:val="00C5024B"/>
    <w:pPr>
      <w:numPr>
        <w:ilvl w:val="5"/>
        <w:numId w:val="6"/>
      </w:numPr>
      <w:spacing w:after="60"/>
      <w:outlineLvl w:val="5"/>
    </w:pPr>
    <w:rPr>
      <w:b/>
      <w:bCs/>
      <w:sz w:val="22"/>
      <w:szCs w:val="22"/>
    </w:rPr>
  </w:style>
  <w:style w:type="paragraph" w:styleId="Nadpis7">
    <w:name w:val="heading 7"/>
    <w:basedOn w:val="Normln"/>
    <w:next w:val="Normln"/>
    <w:qFormat/>
    <w:rsid w:val="00C5024B"/>
    <w:pPr>
      <w:numPr>
        <w:ilvl w:val="6"/>
        <w:numId w:val="6"/>
      </w:numPr>
      <w:spacing w:after="60"/>
      <w:outlineLvl w:val="6"/>
    </w:pPr>
  </w:style>
  <w:style w:type="paragraph" w:styleId="Nadpis8">
    <w:name w:val="heading 8"/>
    <w:basedOn w:val="Normln"/>
    <w:next w:val="Normln"/>
    <w:qFormat/>
    <w:rsid w:val="00C5024B"/>
    <w:pPr>
      <w:numPr>
        <w:ilvl w:val="7"/>
        <w:numId w:val="6"/>
      </w:numPr>
      <w:spacing w:after="60"/>
      <w:outlineLvl w:val="7"/>
    </w:pPr>
    <w:rPr>
      <w:i/>
      <w:iCs/>
    </w:rPr>
  </w:style>
  <w:style w:type="paragraph" w:styleId="Nadpis9">
    <w:name w:val="heading 9"/>
    <w:basedOn w:val="Normln"/>
    <w:next w:val="Normln"/>
    <w:qFormat/>
    <w:rsid w:val="00C5024B"/>
    <w:pPr>
      <w:numPr>
        <w:ilvl w:val="8"/>
        <w:numId w:val="6"/>
      </w:numPr>
      <w:spacing w:after="60"/>
      <w:outlineLvl w:val="8"/>
    </w:pPr>
    <w:rPr>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zkladn">
    <w:name w:val="F2 - základní"/>
    <w:link w:val="F2-zkladnCharChar"/>
    <w:rsid w:val="00D74098"/>
    <w:pPr>
      <w:spacing w:before="240" w:line="300" w:lineRule="exact"/>
      <w:jc w:val="both"/>
    </w:pPr>
    <w:rPr>
      <w:rFonts w:ascii="Arial" w:hAnsi="Arial" w:cs="Arial"/>
    </w:rPr>
  </w:style>
  <w:style w:type="paragraph" w:customStyle="1" w:styleId="F3-odrka">
    <w:name w:val="F3 - odrážka"/>
    <w:basedOn w:val="F2-zkladn"/>
    <w:rsid w:val="002B0B15"/>
    <w:pPr>
      <w:numPr>
        <w:numId w:val="22"/>
      </w:numPr>
      <w:spacing w:before="60"/>
    </w:pPr>
  </w:style>
  <w:style w:type="paragraph" w:customStyle="1" w:styleId="F4-slovn">
    <w:name w:val="F4 - číslování"/>
    <w:basedOn w:val="F2-zkladn"/>
    <w:rsid w:val="009C3F13"/>
    <w:pPr>
      <w:numPr>
        <w:numId w:val="20"/>
      </w:numPr>
      <w:spacing w:before="120" w:after="120"/>
    </w:pPr>
  </w:style>
  <w:style w:type="paragraph" w:customStyle="1" w:styleId="F6-kol">
    <w:name w:val="F6 - úkol"/>
    <w:basedOn w:val="F2-zkladn"/>
    <w:next w:val="F2-zkladn"/>
    <w:rsid w:val="006B13D4"/>
    <w:pPr>
      <w:numPr>
        <w:numId w:val="1"/>
      </w:numPr>
    </w:pPr>
    <w:rPr>
      <w:bCs/>
      <w:color w:val="0000FF"/>
    </w:rPr>
  </w:style>
  <w:style w:type="paragraph" w:customStyle="1" w:styleId="F5-psmena">
    <w:name w:val="F5 - písmena"/>
    <w:basedOn w:val="F2-zkladn"/>
    <w:rsid w:val="005D49F1"/>
    <w:pPr>
      <w:numPr>
        <w:numId w:val="21"/>
      </w:numPr>
      <w:spacing w:before="120" w:after="120"/>
    </w:pPr>
  </w:style>
  <w:style w:type="paragraph" w:customStyle="1" w:styleId="F7-chyba">
    <w:name w:val="F7 - chyba"/>
    <w:basedOn w:val="F2-zkladn"/>
    <w:next w:val="F2-zkladn"/>
    <w:rsid w:val="006B13D4"/>
    <w:pPr>
      <w:numPr>
        <w:numId w:val="2"/>
      </w:numPr>
    </w:pPr>
    <w:rPr>
      <w:color w:val="FF0000"/>
    </w:rPr>
  </w:style>
  <w:style w:type="paragraph" w:customStyle="1" w:styleId="F8-nadpis3">
    <w:name w:val="F8 - nadpis 3"/>
    <w:basedOn w:val="F2-zkladn"/>
    <w:next w:val="F2-zkladn"/>
    <w:rsid w:val="00C5024B"/>
    <w:pPr>
      <w:keepNext/>
      <w:keepLines/>
      <w:numPr>
        <w:ilvl w:val="2"/>
        <w:numId w:val="6"/>
      </w:numPr>
      <w:suppressAutoHyphens/>
      <w:spacing w:before="480"/>
      <w:outlineLvl w:val="2"/>
    </w:pPr>
    <w:rPr>
      <w:b/>
      <w:bCs/>
    </w:rPr>
  </w:style>
  <w:style w:type="paragraph" w:customStyle="1" w:styleId="F9-nadpis2">
    <w:name w:val="F9 - nadpis 2"/>
    <w:basedOn w:val="F2-zkladn"/>
    <w:next w:val="F2-zkladn"/>
    <w:rsid w:val="00C5024B"/>
    <w:pPr>
      <w:keepNext/>
      <w:keepLines/>
      <w:numPr>
        <w:ilvl w:val="1"/>
        <w:numId w:val="6"/>
      </w:numPr>
      <w:suppressAutoHyphens/>
      <w:spacing w:before="480"/>
      <w:outlineLvl w:val="1"/>
    </w:pPr>
    <w:rPr>
      <w:b/>
      <w:bCs/>
    </w:rPr>
  </w:style>
  <w:style w:type="paragraph" w:customStyle="1" w:styleId="F10-nadpis1">
    <w:name w:val="F10 - nadpis 1"/>
    <w:basedOn w:val="F2-zkladn"/>
    <w:next w:val="F2-zkladn"/>
    <w:rsid w:val="00C5024B"/>
    <w:pPr>
      <w:keepNext/>
      <w:keepLines/>
      <w:numPr>
        <w:numId w:val="6"/>
      </w:numPr>
      <w:suppressAutoHyphens/>
      <w:spacing w:before="480"/>
      <w:outlineLvl w:val="0"/>
    </w:pPr>
    <w:rPr>
      <w:b/>
      <w:bCs/>
    </w:rPr>
  </w:style>
  <w:style w:type="paragraph" w:customStyle="1" w:styleId="F11-hlavnkapitola">
    <w:name w:val="F11 - hlavní kapitola"/>
    <w:basedOn w:val="F2-zkladn"/>
    <w:next w:val="F2-zkladn"/>
    <w:rsid w:val="00283AE5"/>
    <w:pPr>
      <w:keepNext/>
      <w:keepLines/>
      <w:numPr>
        <w:numId w:val="3"/>
      </w:numPr>
      <w:suppressAutoHyphens/>
      <w:spacing w:before="480"/>
    </w:pPr>
    <w:rPr>
      <w:b/>
      <w:caps/>
    </w:rPr>
  </w:style>
  <w:style w:type="table" w:customStyle="1" w:styleId="TabulkaHorwathbezzapati">
    <w:name w:val="Tabulka Horwath bez zapati"/>
    <w:basedOn w:val="Normlntabulka"/>
    <w:semiHidden/>
    <w:rsid w:val="00E03DC4"/>
    <w:tblPr/>
    <w:tblStylePr w:type="firstRow">
      <w:tblPr/>
      <w:tcPr>
        <w:tcBorders>
          <w:top w:val="single" w:sz="12" w:space="0" w:color="auto"/>
          <w:bottom w:val="single" w:sz="4" w:space="0" w:color="auto"/>
        </w:tcBorders>
      </w:tcPr>
    </w:tblStylePr>
    <w:tblStylePr w:type="lastRow">
      <w:tblPr/>
      <w:tcPr>
        <w:tcBorders>
          <w:bottom w:val="single" w:sz="12" w:space="0" w:color="auto"/>
        </w:tcBorders>
      </w:tcPr>
    </w:tblStylePr>
  </w:style>
  <w:style w:type="table" w:styleId="Mkatabulky">
    <w:name w:val="Table Grid"/>
    <w:basedOn w:val="Normlntabulka"/>
    <w:uiPriority w:val="39"/>
    <w:rsid w:val="00BF0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FormatZahlavi">
    <w:name w:val="Tabulka1_FormatZahlavi"/>
    <w:basedOn w:val="Normln"/>
    <w:semiHidden/>
    <w:rsid w:val="00284C66"/>
    <w:pPr>
      <w:widowControl w:val="0"/>
      <w:suppressAutoHyphens/>
      <w:spacing w:before="40" w:after="40"/>
      <w:jc w:val="center"/>
    </w:pPr>
    <w:rPr>
      <w:b/>
      <w:bCs/>
      <w:sz w:val="16"/>
    </w:rPr>
  </w:style>
  <w:style w:type="table" w:customStyle="1" w:styleId="TabulkaHorwathsezapatim">
    <w:name w:val="Tabulka Horwath se zapatim"/>
    <w:basedOn w:val="TabulkaHorwathbezzapati"/>
    <w:semiHidden/>
    <w:rsid w:val="003A2CC7"/>
    <w:tblPr/>
    <w:tblStylePr w:type="firstRow">
      <w:tblPr/>
      <w:tcPr>
        <w:tcBorders>
          <w:top w:val="single" w:sz="12" w:space="0" w:color="auto"/>
          <w:bottom w:val="single" w:sz="4" w:space="0" w:color="auto"/>
        </w:tcBorders>
      </w:tcPr>
    </w:tblStylePr>
    <w:tblStylePr w:type="lastRow">
      <w:tblPr/>
      <w:tcPr>
        <w:tcBorders>
          <w:top w:val="single" w:sz="4" w:space="0" w:color="auto"/>
          <w:bottom w:val="single" w:sz="12" w:space="0" w:color="auto"/>
        </w:tcBorders>
      </w:tcPr>
    </w:tblStylePr>
  </w:style>
  <w:style w:type="paragraph" w:customStyle="1" w:styleId="Tabulka1PrvniSloupec">
    <w:name w:val="Tabulka1_PrvniSloupec"/>
    <w:semiHidden/>
    <w:rsid w:val="00284C66"/>
    <w:pPr>
      <w:widowControl w:val="0"/>
      <w:suppressAutoHyphens/>
      <w:spacing w:before="40" w:after="40"/>
      <w:jc w:val="right"/>
    </w:pPr>
    <w:rPr>
      <w:rFonts w:ascii="Arial" w:hAnsi="Arial"/>
      <w:sz w:val="16"/>
      <w:szCs w:val="24"/>
    </w:rPr>
  </w:style>
  <w:style w:type="paragraph" w:customStyle="1" w:styleId="Tabulka1Zbytek">
    <w:name w:val="Tabulka1_Zbytek"/>
    <w:semiHidden/>
    <w:rsid w:val="00284C66"/>
    <w:pPr>
      <w:widowControl w:val="0"/>
      <w:suppressAutoHyphens/>
      <w:spacing w:before="40" w:after="40"/>
    </w:pPr>
    <w:rPr>
      <w:rFonts w:ascii="Arial" w:hAnsi="Arial"/>
      <w:sz w:val="16"/>
      <w:szCs w:val="16"/>
    </w:rPr>
  </w:style>
  <w:style w:type="numbering" w:styleId="111111">
    <w:name w:val="Outline List 2"/>
    <w:basedOn w:val="Bezseznamu"/>
    <w:semiHidden/>
    <w:rsid w:val="00794E4C"/>
    <w:pPr>
      <w:numPr>
        <w:numId w:val="7"/>
      </w:numPr>
    </w:pPr>
  </w:style>
  <w:style w:type="numbering" w:styleId="1ai">
    <w:name w:val="Outline List 1"/>
    <w:basedOn w:val="Bezseznamu"/>
    <w:semiHidden/>
    <w:rsid w:val="00794E4C"/>
    <w:pPr>
      <w:numPr>
        <w:numId w:val="8"/>
      </w:numPr>
    </w:pPr>
  </w:style>
  <w:style w:type="paragraph" w:styleId="AdresaHTML">
    <w:name w:val="HTML Address"/>
    <w:basedOn w:val="Normln"/>
    <w:semiHidden/>
    <w:rsid w:val="00794E4C"/>
    <w:rPr>
      <w:i/>
      <w:iCs/>
    </w:rPr>
  </w:style>
  <w:style w:type="paragraph" w:styleId="Adresanaoblku">
    <w:name w:val="envelope address"/>
    <w:basedOn w:val="Normln"/>
    <w:semiHidden/>
    <w:rsid w:val="00794E4C"/>
    <w:pPr>
      <w:framePr w:w="7920" w:h="1980" w:hRule="exact" w:hSpace="141" w:wrap="auto" w:hAnchor="page" w:xAlign="center" w:yAlign="bottom"/>
      <w:ind w:left="2880"/>
    </w:pPr>
  </w:style>
  <w:style w:type="character" w:styleId="AkronymHTML">
    <w:name w:val="HTML Acronym"/>
    <w:basedOn w:val="Standardnpsmoodstavce"/>
    <w:semiHidden/>
    <w:rsid w:val="00794E4C"/>
  </w:style>
  <w:style w:type="table" w:styleId="Barevntabulka1">
    <w:name w:val="Table Colorful 1"/>
    <w:basedOn w:val="Normlntabulka"/>
    <w:semiHidden/>
    <w:rsid w:val="00794E4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794E4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794E4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794E4C"/>
    <w:rPr>
      <w:i/>
      <w:iCs/>
    </w:rPr>
  </w:style>
  <w:style w:type="character" w:styleId="slodku">
    <w:name w:val="line number"/>
    <w:basedOn w:val="Standardnpsmoodstavce"/>
    <w:semiHidden/>
    <w:rsid w:val="00794E4C"/>
  </w:style>
  <w:style w:type="character" w:styleId="slostrnky">
    <w:name w:val="page number"/>
    <w:basedOn w:val="Standardnpsmoodstavce"/>
    <w:semiHidden/>
    <w:rsid w:val="00794E4C"/>
  </w:style>
  <w:style w:type="paragraph" w:styleId="slovanseznam">
    <w:name w:val="List Number"/>
    <w:basedOn w:val="Normln"/>
    <w:uiPriority w:val="99"/>
    <w:semiHidden/>
    <w:rsid w:val="00794E4C"/>
    <w:pPr>
      <w:numPr>
        <w:numId w:val="9"/>
      </w:numPr>
    </w:pPr>
  </w:style>
  <w:style w:type="paragraph" w:styleId="slovanseznam2">
    <w:name w:val="List Number 2"/>
    <w:basedOn w:val="Normln"/>
    <w:semiHidden/>
    <w:rsid w:val="00794E4C"/>
    <w:pPr>
      <w:numPr>
        <w:numId w:val="10"/>
      </w:numPr>
    </w:pPr>
  </w:style>
  <w:style w:type="paragraph" w:styleId="slovanseznam3">
    <w:name w:val="List Number 3"/>
    <w:basedOn w:val="Normln"/>
    <w:semiHidden/>
    <w:rsid w:val="00794E4C"/>
    <w:pPr>
      <w:numPr>
        <w:numId w:val="11"/>
      </w:numPr>
    </w:pPr>
  </w:style>
  <w:style w:type="paragraph" w:styleId="slovanseznam4">
    <w:name w:val="List Number 4"/>
    <w:basedOn w:val="Normln"/>
    <w:semiHidden/>
    <w:rsid w:val="00794E4C"/>
    <w:pPr>
      <w:numPr>
        <w:numId w:val="12"/>
      </w:numPr>
    </w:pPr>
  </w:style>
  <w:style w:type="paragraph" w:styleId="slovanseznam5">
    <w:name w:val="List Number 5"/>
    <w:basedOn w:val="Normln"/>
    <w:semiHidden/>
    <w:rsid w:val="00794E4C"/>
    <w:pPr>
      <w:numPr>
        <w:numId w:val="13"/>
      </w:numPr>
    </w:pPr>
  </w:style>
  <w:style w:type="numbering" w:styleId="lnekoddl">
    <w:name w:val="Outline List 3"/>
    <w:basedOn w:val="Bezseznamu"/>
    <w:semiHidden/>
    <w:rsid w:val="00794E4C"/>
    <w:pPr>
      <w:numPr>
        <w:numId w:val="14"/>
      </w:numPr>
    </w:pPr>
  </w:style>
  <w:style w:type="paragraph" w:styleId="Datum">
    <w:name w:val="Date"/>
    <w:basedOn w:val="Normln"/>
    <w:next w:val="Normln"/>
    <w:semiHidden/>
    <w:rsid w:val="00794E4C"/>
  </w:style>
  <w:style w:type="character" w:styleId="DefiniceHTML">
    <w:name w:val="HTML Definition"/>
    <w:semiHidden/>
    <w:rsid w:val="00794E4C"/>
    <w:rPr>
      <w:i/>
      <w:iCs/>
    </w:rPr>
  </w:style>
  <w:style w:type="table" w:styleId="Elegantntabulka">
    <w:name w:val="Table Elegant"/>
    <w:basedOn w:val="Normlntabulka"/>
    <w:semiHidden/>
    <w:rsid w:val="00794E4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link w:val="FormtovanvHTMLChar"/>
    <w:uiPriority w:val="99"/>
    <w:rsid w:val="00794E4C"/>
    <w:rPr>
      <w:rFonts w:ascii="Courier New" w:hAnsi="Courier New" w:cs="Times New Roman"/>
    </w:rPr>
  </w:style>
  <w:style w:type="character" w:styleId="Hypertextovodkaz">
    <w:name w:val="Hyperlink"/>
    <w:uiPriority w:val="99"/>
    <w:rsid w:val="00794E4C"/>
    <w:rPr>
      <w:color w:val="0000FF"/>
      <w:u w:val="single"/>
    </w:rPr>
  </w:style>
  <w:style w:type="table" w:styleId="Jednoduchtabulka1">
    <w:name w:val="Table Simple 1"/>
    <w:basedOn w:val="Normlntabulka"/>
    <w:semiHidden/>
    <w:rsid w:val="00794E4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794E4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794E4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794E4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794E4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794E4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794E4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794E4C"/>
    <w:rPr>
      <w:rFonts w:ascii="Courier New" w:hAnsi="Courier New" w:cs="Courier New"/>
      <w:sz w:val="20"/>
      <w:szCs w:val="20"/>
    </w:rPr>
  </w:style>
  <w:style w:type="character" w:styleId="KdHTML">
    <w:name w:val="HTML Code"/>
    <w:semiHidden/>
    <w:rsid w:val="00794E4C"/>
    <w:rPr>
      <w:rFonts w:ascii="Courier New" w:hAnsi="Courier New" w:cs="Courier New"/>
      <w:sz w:val="20"/>
      <w:szCs w:val="20"/>
    </w:rPr>
  </w:style>
  <w:style w:type="table" w:styleId="Moderntabulka">
    <w:name w:val="Table Contemporary"/>
    <w:basedOn w:val="Normlntabulka"/>
    <w:semiHidden/>
    <w:rsid w:val="00794E4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794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794E4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794E4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794E4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794E4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794E4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794E4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794E4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794E4C"/>
  </w:style>
  <w:style w:type="paragraph" w:styleId="Nzev">
    <w:name w:val="Title"/>
    <w:basedOn w:val="Normln"/>
    <w:link w:val="NzevChar"/>
    <w:uiPriority w:val="10"/>
    <w:qFormat/>
    <w:rsid w:val="00794E4C"/>
    <w:pPr>
      <w:spacing w:after="60"/>
      <w:jc w:val="center"/>
      <w:outlineLvl w:val="0"/>
    </w:pPr>
    <w:rPr>
      <w:b/>
      <w:bCs/>
      <w:kern w:val="28"/>
      <w:sz w:val="32"/>
      <w:szCs w:val="32"/>
    </w:rPr>
  </w:style>
  <w:style w:type="paragraph" w:styleId="Normlnweb">
    <w:name w:val="Normal (Web)"/>
    <w:basedOn w:val="Normln"/>
    <w:uiPriority w:val="99"/>
    <w:rsid w:val="00794E4C"/>
  </w:style>
  <w:style w:type="paragraph" w:styleId="Normlnodsazen">
    <w:name w:val="Normal Indent"/>
    <w:basedOn w:val="Normln"/>
    <w:semiHidden/>
    <w:rsid w:val="00794E4C"/>
    <w:pPr>
      <w:ind w:left="708"/>
    </w:pPr>
  </w:style>
  <w:style w:type="paragraph" w:styleId="Osloven">
    <w:name w:val="Salutation"/>
    <w:basedOn w:val="Normln"/>
    <w:next w:val="Normln"/>
    <w:semiHidden/>
    <w:rsid w:val="00794E4C"/>
  </w:style>
  <w:style w:type="paragraph" w:styleId="Podpis">
    <w:name w:val="Signature"/>
    <w:basedOn w:val="Normln"/>
    <w:semiHidden/>
    <w:rsid w:val="00794E4C"/>
    <w:pPr>
      <w:ind w:left="4252"/>
    </w:pPr>
  </w:style>
  <w:style w:type="paragraph" w:styleId="Podpise-mailu">
    <w:name w:val="E-mail Signature"/>
    <w:basedOn w:val="Normln"/>
    <w:semiHidden/>
    <w:rsid w:val="00794E4C"/>
  </w:style>
  <w:style w:type="paragraph" w:styleId="Podnadpis">
    <w:name w:val="Subtitle"/>
    <w:basedOn w:val="Normln"/>
    <w:qFormat/>
    <w:rsid w:val="00794E4C"/>
    <w:pPr>
      <w:spacing w:after="60"/>
      <w:jc w:val="center"/>
      <w:outlineLvl w:val="1"/>
    </w:pPr>
  </w:style>
  <w:style w:type="paragraph" w:styleId="Pokraovnseznamu">
    <w:name w:val="List Continue"/>
    <w:basedOn w:val="Normln"/>
    <w:semiHidden/>
    <w:rsid w:val="00794E4C"/>
    <w:pPr>
      <w:spacing w:after="120"/>
      <w:ind w:left="283"/>
    </w:pPr>
  </w:style>
  <w:style w:type="paragraph" w:styleId="Pokraovnseznamu2">
    <w:name w:val="List Continue 2"/>
    <w:basedOn w:val="Normln"/>
    <w:semiHidden/>
    <w:rsid w:val="00794E4C"/>
    <w:pPr>
      <w:spacing w:after="120"/>
      <w:ind w:left="566"/>
    </w:pPr>
  </w:style>
  <w:style w:type="paragraph" w:styleId="Pokraovnseznamu3">
    <w:name w:val="List Continue 3"/>
    <w:basedOn w:val="Normln"/>
    <w:semiHidden/>
    <w:rsid w:val="00794E4C"/>
    <w:pPr>
      <w:spacing w:after="120"/>
      <w:ind w:left="849"/>
    </w:pPr>
  </w:style>
  <w:style w:type="paragraph" w:styleId="Pokraovnseznamu4">
    <w:name w:val="List Continue 4"/>
    <w:basedOn w:val="Normln"/>
    <w:semiHidden/>
    <w:rsid w:val="00794E4C"/>
    <w:pPr>
      <w:spacing w:after="120"/>
      <w:ind w:left="1132"/>
    </w:pPr>
  </w:style>
  <w:style w:type="paragraph" w:styleId="Pokraovnseznamu5">
    <w:name w:val="List Continue 5"/>
    <w:basedOn w:val="Normln"/>
    <w:semiHidden/>
    <w:rsid w:val="00794E4C"/>
    <w:pPr>
      <w:spacing w:after="120"/>
      <w:ind w:left="1415"/>
    </w:pPr>
  </w:style>
  <w:style w:type="table" w:styleId="Profesionlntabulka">
    <w:name w:val="Table Professional"/>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794E4C"/>
    <w:rPr>
      <w:i/>
      <w:iCs/>
    </w:rPr>
  </w:style>
  <w:style w:type="paragraph" w:styleId="Prosttext">
    <w:name w:val="Plain Text"/>
    <w:basedOn w:val="Normln"/>
    <w:semiHidden/>
    <w:rsid w:val="00794E4C"/>
    <w:rPr>
      <w:rFonts w:ascii="Courier New" w:hAnsi="Courier New" w:cs="Courier New"/>
    </w:rPr>
  </w:style>
  <w:style w:type="character" w:styleId="PsacstrojHTML">
    <w:name w:val="HTML Typewriter"/>
    <w:semiHidden/>
    <w:rsid w:val="00794E4C"/>
    <w:rPr>
      <w:rFonts w:ascii="Courier New" w:hAnsi="Courier New" w:cs="Courier New"/>
      <w:sz w:val="20"/>
      <w:szCs w:val="20"/>
    </w:rPr>
  </w:style>
  <w:style w:type="paragraph" w:styleId="Seznam">
    <w:name w:val="List"/>
    <w:basedOn w:val="Normln"/>
    <w:semiHidden/>
    <w:rsid w:val="00794E4C"/>
    <w:pPr>
      <w:ind w:left="283" w:hanging="283"/>
    </w:pPr>
  </w:style>
  <w:style w:type="paragraph" w:styleId="Seznam2">
    <w:name w:val="List 2"/>
    <w:basedOn w:val="Normln"/>
    <w:semiHidden/>
    <w:rsid w:val="00794E4C"/>
    <w:pPr>
      <w:ind w:left="566" w:hanging="283"/>
    </w:pPr>
  </w:style>
  <w:style w:type="paragraph" w:styleId="Seznam3">
    <w:name w:val="List 3"/>
    <w:basedOn w:val="Normln"/>
    <w:semiHidden/>
    <w:rsid w:val="00794E4C"/>
    <w:pPr>
      <w:ind w:left="849" w:hanging="283"/>
    </w:pPr>
  </w:style>
  <w:style w:type="paragraph" w:styleId="Seznam4">
    <w:name w:val="List 4"/>
    <w:basedOn w:val="Normln"/>
    <w:semiHidden/>
    <w:rsid w:val="00794E4C"/>
    <w:pPr>
      <w:ind w:left="1132" w:hanging="283"/>
    </w:pPr>
  </w:style>
  <w:style w:type="paragraph" w:styleId="Seznam5">
    <w:name w:val="List 5"/>
    <w:basedOn w:val="Normln"/>
    <w:semiHidden/>
    <w:rsid w:val="00794E4C"/>
    <w:pPr>
      <w:ind w:left="1415" w:hanging="283"/>
    </w:pPr>
  </w:style>
  <w:style w:type="paragraph" w:styleId="Seznamsodrkami">
    <w:name w:val="List Bullet"/>
    <w:basedOn w:val="Normln"/>
    <w:semiHidden/>
    <w:rsid w:val="00794E4C"/>
    <w:pPr>
      <w:numPr>
        <w:numId w:val="15"/>
      </w:numPr>
    </w:pPr>
  </w:style>
  <w:style w:type="paragraph" w:styleId="Seznamsodrkami2">
    <w:name w:val="List Bullet 2"/>
    <w:basedOn w:val="Normln"/>
    <w:semiHidden/>
    <w:rsid w:val="00794E4C"/>
    <w:pPr>
      <w:numPr>
        <w:numId w:val="16"/>
      </w:numPr>
    </w:pPr>
  </w:style>
  <w:style w:type="paragraph" w:styleId="Seznamsodrkami3">
    <w:name w:val="List Bullet 3"/>
    <w:basedOn w:val="Normln"/>
    <w:semiHidden/>
    <w:rsid w:val="00794E4C"/>
    <w:pPr>
      <w:numPr>
        <w:numId w:val="17"/>
      </w:numPr>
    </w:pPr>
  </w:style>
  <w:style w:type="paragraph" w:styleId="Seznamsodrkami4">
    <w:name w:val="List Bullet 4"/>
    <w:basedOn w:val="Normln"/>
    <w:semiHidden/>
    <w:rsid w:val="00794E4C"/>
    <w:pPr>
      <w:numPr>
        <w:numId w:val="18"/>
      </w:numPr>
    </w:pPr>
  </w:style>
  <w:style w:type="paragraph" w:styleId="Seznamsodrkami5">
    <w:name w:val="List Bullet 5"/>
    <w:basedOn w:val="Normln"/>
    <w:semiHidden/>
    <w:rsid w:val="00794E4C"/>
    <w:pPr>
      <w:numPr>
        <w:numId w:val="19"/>
      </w:numPr>
    </w:pPr>
  </w:style>
  <w:style w:type="character" w:styleId="Siln">
    <w:name w:val="Strong"/>
    <w:uiPriority w:val="22"/>
    <w:qFormat/>
    <w:rsid w:val="00794E4C"/>
    <w:rPr>
      <w:b/>
      <w:bCs/>
    </w:rPr>
  </w:style>
  <w:style w:type="character" w:styleId="Sledovanodkaz">
    <w:name w:val="FollowedHyperlink"/>
    <w:semiHidden/>
    <w:rsid w:val="00794E4C"/>
    <w:rPr>
      <w:color w:val="800080"/>
      <w:u w:val="single"/>
    </w:rPr>
  </w:style>
  <w:style w:type="table" w:styleId="Sloupcetabulky1">
    <w:name w:val="Table Columns 1"/>
    <w:basedOn w:val="Normlntabulka"/>
    <w:semiHidden/>
    <w:rsid w:val="00794E4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794E4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794E4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794E4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794E4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794E4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794E4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794E4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794E4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794E4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794E4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794E4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794E4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794E4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794E4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794E4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794E4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794E4C"/>
    <w:pPr>
      <w:spacing w:after="120"/>
      <w:ind w:left="1440" w:right="1440"/>
    </w:pPr>
  </w:style>
  <w:style w:type="character" w:styleId="UkzkaHTML">
    <w:name w:val="HTML Sample"/>
    <w:semiHidden/>
    <w:rsid w:val="00794E4C"/>
    <w:rPr>
      <w:rFonts w:ascii="Courier New" w:hAnsi="Courier New" w:cs="Courier New"/>
    </w:rPr>
  </w:style>
  <w:style w:type="table" w:styleId="Webovtabulka1">
    <w:name w:val="Table Web 1"/>
    <w:basedOn w:val="Normlntabulka"/>
    <w:semiHidden/>
    <w:rsid w:val="00794E4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794E4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794E4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794E4C"/>
    <w:pPr>
      <w:tabs>
        <w:tab w:val="center" w:pos="4536"/>
        <w:tab w:val="right" w:pos="9072"/>
      </w:tabs>
    </w:pPr>
  </w:style>
  <w:style w:type="paragraph" w:styleId="Zhlavzprvy">
    <w:name w:val="Message Header"/>
    <w:basedOn w:val="Normln"/>
    <w:semiHidden/>
    <w:rsid w:val="00794E4C"/>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Zkladntext">
    <w:name w:val="Body Text"/>
    <w:basedOn w:val="Normln"/>
    <w:semiHidden/>
    <w:rsid w:val="00794E4C"/>
    <w:pPr>
      <w:spacing w:after="120"/>
    </w:pPr>
  </w:style>
  <w:style w:type="paragraph" w:styleId="Zkladntext-prvnodsazen">
    <w:name w:val="Body Text First Indent"/>
    <w:basedOn w:val="Zkladntext"/>
    <w:semiHidden/>
    <w:rsid w:val="00794E4C"/>
    <w:pPr>
      <w:ind w:firstLine="210"/>
    </w:pPr>
  </w:style>
  <w:style w:type="paragraph" w:styleId="Zkladntextodsazen">
    <w:name w:val="Body Text Indent"/>
    <w:basedOn w:val="Normln"/>
    <w:semiHidden/>
    <w:rsid w:val="00794E4C"/>
    <w:pPr>
      <w:spacing w:after="120"/>
      <w:ind w:left="283"/>
    </w:pPr>
  </w:style>
  <w:style w:type="paragraph" w:styleId="Zkladntext-prvnodsazen2">
    <w:name w:val="Body Text First Indent 2"/>
    <w:basedOn w:val="Zkladntextodsazen"/>
    <w:semiHidden/>
    <w:rsid w:val="00794E4C"/>
    <w:pPr>
      <w:ind w:firstLine="210"/>
    </w:pPr>
  </w:style>
  <w:style w:type="paragraph" w:styleId="Zkladntext2">
    <w:name w:val="Body Text 2"/>
    <w:basedOn w:val="Normln"/>
    <w:semiHidden/>
    <w:rsid w:val="00794E4C"/>
    <w:pPr>
      <w:spacing w:after="120" w:line="480" w:lineRule="auto"/>
    </w:pPr>
  </w:style>
  <w:style w:type="paragraph" w:styleId="Zkladntext3">
    <w:name w:val="Body Text 3"/>
    <w:basedOn w:val="Normln"/>
    <w:semiHidden/>
    <w:rsid w:val="00794E4C"/>
    <w:pPr>
      <w:spacing w:after="120"/>
    </w:pPr>
    <w:rPr>
      <w:sz w:val="16"/>
      <w:szCs w:val="16"/>
    </w:rPr>
  </w:style>
  <w:style w:type="paragraph" w:styleId="Zkladntextodsazen2">
    <w:name w:val="Body Text Indent 2"/>
    <w:basedOn w:val="Normln"/>
    <w:semiHidden/>
    <w:rsid w:val="00794E4C"/>
    <w:pPr>
      <w:spacing w:after="120" w:line="480" w:lineRule="auto"/>
      <w:ind w:left="283"/>
    </w:pPr>
  </w:style>
  <w:style w:type="paragraph" w:styleId="Zkladntextodsazen3">
    <w:name w:val="Body Text Indent 3"/>
    <w:basedOn w:val="Normln"/>
    <w:semiHidden/>
    <w:rsid w:val="00794E4C"/>
    <w:pPr>
      <w:spacing w:after="120"/>
      <w:ind w:left="283"/>
    </w:pPr>
    <w:rPr>
      <w:sz w:val="16"/>
      <w:szCs w:val="16"/>
    </w:rPr>
  </w:style>
  <w:style w:type="paragraph" w:styleId="Zpat">
    <w:name w:val="footer"/>
    <w:basedOn w:val="Normln"/>
    <w:semiHidden/>
    <w:rsid w:val="00794E4C"/>
    <w:pPr>
      <w:tabs>
        <w:tab w:val="center" w:pos="4536"/>
        <w:tab w:val="right" w:pos="9072"/>
      </w:tabs>
    </w:pPr>
  </w:style>
  <w:style w:type="paragraph" w:styleId="Zvr">
    <w:name w:val="Closing"/>
    <w:basedOn w:val="Normln"/>
    <w:semiHidden/>
    <w:rsid w:val="00794E4C"/>
    <w:pPr>
      <w:ind w:left="4252"/>
    </w:pPr>
  </w:style>
  <w:style w:type="paragraph" w:styleId="Zptenadresanaoblku">
    <w:name w:val="envelope return"/>
    <w:basedOn w:val="Normln"/>
    <w:semiHidden/>
    <w:rsid w:val="00794E4C"/>
  </w:style>
  <w:style w:type="character" w:customStyle="1" w:styleId="Zvraznn">
    <w:name w:val="Zvýraznění"/>
    <w:qFormat/>
    <w:rsid w:val="00794E4C"/>
    <w:rPr>
      <w:i/>
      <w:iCs/>
    </w:rPr>
  </w:style>
  <w:style w:type="paragraph" w:customStyle="1" w:styleId="F-nadpis4">
    <w:name w:val="F - nadpis 4"/>
    <w:basedOn w:val="F2-zkladn"/>
    <w:next w:val="F2-zkladn"/>
    <w:rsid w:val="00C5024B"/>
    <w:pPr>
      <w:keepNext/>
      <w:keepLines/>
      <w:numPr>
        <w:ilvl w:val="3"/>
        <w:numId w:val="6"/>
      </w:numPr>
      <w:suppressAutoHyphens/>
      <w:spacing w:before="480"/>
      <w:outlineLvl w:val="3"/>
    </w:pPr>
    <w:rPr>
      <w:b/>
    </w:rPr>
  </w:style>
  <w:style w:type="table" w:customStyle="1" w:styleId="F-tabulka">
    <w:name w:val="F - tabulka"/>
    <w:basedOn w:val="Normlntabulka"/>
    <w:rsid w:val="00454D44"/>
    <w:rPr>
      <w:rFonts w:ascii="Arial" w:hAnsi="Arial" w:cs="Arial"/>
      <w:sz w:val="16"/>
    </w:rPr>
    <w:tblPr>
      <w:tblBorders>
        <w:bottom w:val="single" w:sz="12" w:space="0" w:color="000080"/>
      </w:tblBorders>
      <w:tblCellMar>
        <w:left w:w="68" w:type="dxa"/>
        <w:right w:w="68" w:type="dxa"/>
      </w:tblCellMar>
    </w:tblPr>
    <w:tcPr>
      <w:shd w:val="clear" w:color="auto" w:fill="auto"/>
    </w:tcPr>
    <w:tblStylePr w:type="firstRow">
      <w:rPr>
        <w:b/>
      </w:rPr>
      <w:tblPr/>
      <w:trPr>
        <w:tblHeader/>
      </w:trPr>
      <w:tcPr>
        <w:tcBorders>
          <w:top w:val="nil"/>
          <w:left w:val="nil"/>
          <w:bottom w:val="nil"/>
          <w:right w:val="nil"/>
          <w:insideH w:val="nil"/>
          <w:insideV w:val="nil"/>
          <w:tl2br w:val="nil"/>
          <w:tr2bl w:val="nil"/>
        </w:tcBorders>
        <w:shd w:val="clear" w:color="auto" w:fill="000080"/>
      </w:tcPr>
    </w:tblStylePr>
    <w:tblStylePr w:type="firstCol">
      <w:pPr>
        <w:jc w:val="left"/>
      </w:pPr>
    </w:tblStylePr>
  </w:style>
  <w:style w:type="paragraph" w:customStyle="1" w:styleId="F-nadpis5">
    <w:name w:val="F - nadpis 5"/>
    <w:basedOn w:val="F2-zkladn"/>
    <w:next w:val="F2-zkladn"/>
    <w:rsid w:val="009145F6"/>
    <w:pPr>
      <w:keepNext/>
      <w:keepLines/>
      <w:tabs>
        <w:tab w:val="left" w:pos="794"/>
      </w:tabs>
      <w:suppressAutoHyphens/>
      <w:spacing w:before="480"/>
      <w:outlineLvl w:val="4"/>
    </w:pPr>
    <w:rPr>
      <w:b/>
      <w:bCs/>
    </w:rPr>
  </w:style>
  <w:style w:type="paragraph" w:styleId="Obsah1">
    <w:name w:val="toc 1"/>
    <w:basedOn w:val="Normln"/>
    <w:next w:val="Normln"/>
    <w:autoRedefine/>
    <w:semiHidden/>
    <w:rsid w:val="001A7DE3"/>
    <w:pPr>
      <w:tabs>
        <w:tab w:val="left" w:pos="794"/>
        <w:tab w:val="right" w:leader="dot" w:pos="9072"/>
      </w:tabs>
      <w:spacing w:before="120" w:after="120" w:line="360" w:lineRule="auto"/>
      <w:ind w:left="794" w:hanging="794"/>
    </w:pPr>
    <w:rPr>
      <w:b/>
      <w:bCs/>
      <w:caps/>
      <w:noProof/>
      <w:lang w:val="de-DE"/>
    </w:rPr>
  </w:style>
  <w:style w:type="paragraph" w:styleId="Obsah2">
    <w:name w:val="toc 2"/>
    <w:basedOn w:val="Obsah1"/>
    <w:next w:val="Normln"/>
    <w:autoRedefine/>
    <w:semiHidden/>
    <w:rsid w:val="00C77777"/>
    <w:pPr>
      <w:spacing w:before="60" w:after="0" w:line="240" w:lineRule="auto"/>
    </w:pPr>
    <w:rPr>
      <w:b w:val="0"/>
      <w:caps w:val="0"/>
      <w:lang w:val="de-AT"/>
    </w:rPr>
  </w:style>
  <w:style w:type="paragraph" w:styleId="Obsah3">
    <w:name w:val="toc 3"/>
    <w:basedOn w:val="Obsah2"/>
    <w:next w:val="Normln"/>
    <w:autoRedefine/>
    <w:semiHidden/>
    <w:rsid w:val="00C77777"/>
    <w:pPr>
      <w:spacing w:before="0"/>
    </w:pPr>
  </w:style>
  <w:style w:type="paragraph" w:styleId="Textpoznpodarou">
    <w:name w:val="footnote text"/>
    <w:basedOn w:val="F-poznmkapodarou"/>
    <w:next w:val="F-poznmkapodarou"/>
    <w:link w:val="TextpoznpodarouChar"/>
    <w:uiPriority w:val="99"/>
    <w:semiHidden/>
    <w:rsid w:val="004202CB"/>
  </w:style>
  <w:style w:type="character" w:styleId="Znakapoznpodarou">
    <w:name w:val="footnote reference"/>
    <w:uiPriority w:val="99"/>
    <w:semiHidden/>
    <w:rsid w:val="009145F6"/>
    <w:rPr>
      <w:vertAlign w:val="superscript"/>
    </w:rPr>
  </w:style>
  <w:style w:type="paragraph" w:customStyle="1" w:styleId="F-zpat">
    <w:name w:val="F - zápatí"/>
    <w:basedOn w:val="F2-zkladn"/>
    <w:link w:val="F-zpatCharChar"/>
    <w:rsid w:val="00C941AD"/>
    <w:pPr>
      <w:spacing w:before="0" w:line="200" w:lineRule="exact"/>
      <w:jc w:val="center"/>
    </w:pPr>
    <w:rPr>
      <w:sz w:val="16"/>
      <w:szCs w:val="16"/>
    </w:rPr>
  </w:style>
  <w:style w:type="character" w:customStyle="1" w:styleId="F2-zkladnCharChar">
    <w:name w:val="F2 - základní Char Char"/>
    <w:link w:val="F2-zkladn"/>
    <w:rsid w:val="00D74098"/>
    <w:rPr>
      <w:rFonts w:ascii="Arial" w:hAnsi="Arial" w:cs="Arial"/>
      <w:lang w:val="cs-CZ" w:eastAsia="cs-CZ" w:bidi="ar-SA"/>
    </w:rPr>
  </w:style>
  <w:style w:type="character" w:customStyle="1" w:styleId="F-zpatCharChar">
    <w:name w:val="F - zápatí Char Char"/>
    <w:link w:val="F-zpat"/>
    <w:rsid w:val="00E71F11"/>
    <w:rPr>
      <w:rFonts w:ascii="Arial" w:hAnsi="Arial" w:cs="Arial"/>
      <w:sz w:val="16"/>
      <w:szCs w:val="16"/>
      <w:lang w:val="cs-CZ" w:eastAsia="cs-CZ" w:bidi="ar-SA"/>
    </w:rPr>
  </w:style>
  <w:style w:type="paragraph" w:customStyle="1" w:styleId="F-poznmkapodarou">
    <w:name w:val="F - poznámka pod čarou"/>
    <w:basedOn w:val="F-zpat"/>
    <w:rsid w:val="009145F6"/>
    <w:pPr>
      <w:jc w:val="left"/>
    </w:pPr>
  </w:style>
  <w:style w:type="paragraph" w:customStyle="1" w:styleId="F-zdroj">
    <w:name w:val="F - zdroj"/>
    <w:basedOn w:val="F2-zkladn"/>
    <w:next w:val="F2-zkladn"/>
    <w:rsid w:val="00040CE8"/>
    <w:pPr>
      <w:spacing w:before="60" w:line="200" w:lineRule="exact"/>
    </w:pPr>
    <w:rPr>
      <w:i/>
      <w:sz w:val="16"/>
    </w:rPr>
  </w:style>
  <w:style w:type="paragraph" w:customStyle="1" w:styleId="F-titul">
    <w:name w:val="F - titul"/>
    <w:basedOn w:val="F2-zkladn"/>
    <w:next w:val="F2-zkladn"/>
    <w:rsid w:val="00D32759"/>
    <w:pPr>
      <w:keepNext/>
      <w:keepLines/>
      <w:suppressAutoHyphens/>
      <w:spacing w:before="480" w:line="400" w:lineRule="exact"/>
    </w:pPr>
    <w:rPr>
      <w:b/>
      <w:sz w:val="32"/>
    </w:rPr>
  </w:style>
  <w:style w:type="paragraph" w:styleId="Obsah4">
    <w:name w:val="toc 4"/>
    <w:basedOn w:val="Obsah3"/>
    <w:next w:val="Normln"/>
    <w:autoRedefine/>
    <w:semiHidden/>
    <w:rsid w:val="00C77777"/>
  </w:style>
  <w:style w:type="paragraph" w:styleId="Obsah5">
    <w:name w:val="toc 5"/>
    <w:basedOn w:val="Normln"/>
    <w:next w:val="Normln"/>
    <w:autoRedefine/>
    <w:semiHidden/>
    <w:rsid w:val="00C77777"/>
    <w:pPr>
      <w:tabs>
        <w:tab w:val="left" w:pos="794"/>
        <w:tab w:val="right" w:leader="dot" w:pos="9060"/>
      </w:tabs>
      <w:ind w:left="794"/>
    </w:pPr>
  </w:style>
  <w:style w:type="paragraph" w:customStyle="1" w:styleId="F2Alt-texttabulky">
    <w:name w:val="F2+Alt - text tabulky"/>
    <w:basedOn w:val="F2-zkladn"/>
    <w:rsid w:val="00920F36"/>
    <w:pPr>
      <w:widowControl w:val="0"/>
      <w:suppressAutoHyphens/>
      <w:spacing w:before="40" w:after="40" w:line="240" w:lineRule="auto"/>
      <w:jc w:val="left"/>
    </w:pPr>
    <w:rPr>
      <w:sz w:val="16"/>
      <w:szCs w:val="16"/>
    </w:rPr>
  </w:style>
  <w:style w:type="paragraph" w:styleId="Textbubliny">
    <w:name w:val="Balloon Text"/>
    <w:basedOn w:val="Normln"/>
    <w:link w:val="TextbublinyChar"/>
    <w:rsid w:val="00E14EC2"/>
    <w:pPr>
      <w:spacing w:before="0" w:line="240" w:lineRule="auto"/>
    </w:pPr>
    <w:rPr>
      <w:rFonts w:ascii="Tahoma" w:hAnsi="Tahoma" w:cs="Times New Roman"/>
      <w:sz w:val="16"/>
      <w:szCs w:val="16"/>
    </w:rPr>
  </w:style>
  <w:style w:type="character" w:customStyle="1" w:styleId="TextbublinyChar">
    <w:name w:val="Text bubliny Char"/>
    <w:link w:val="Textbubliny"/>
    <w:rsid w:val="00E14EC2"/>
    <w:rPr>
      <w:rFonts w:ascii="Tahoma" w:hAnsi="Tahoma" w:cs="Tahoma"/>
      <w:sz w:val="16"/>
      <w:szCs w:val="16"/>
    </w:rPr>
  </w:style>
  <w:style w:type="character" w:styleId="Odkaznakoment">
    <w:name w:val="annotation reference"/>
    <w:uiPriority w:val="99"/>
    <w:rsid w:val="00B839BA"/>
    <w:rPr>
      <w:sz w:val="16"/>
      <w:szCs w:val="16"/>
    </w:rPr>
  </w:style>
  <w:style w:type="paragraph" w:styleId="Textkomente">
    <w:name w:val="annotation text"/>
    <w:basedOn w:val="Normln"/>
    <w:link w:val="TextkomenteChar"/>
    <w:rsid w:val="00B839BA"/>
    <w:rPr>
      <w:rFonts w:cs="Times New Roman"/>
    </w:rPr>
  </w:style>
  <w:style w:type="character" w:customStyle="1" w:styleId="TextkomenteChar">
    <w:name w:val="Text komentáře Char"/>
    <w:link w:val="Textkomente"/>
    <w:rsid w:val="00B839BA"/>
    <w:rPr>
      <w:rFonts w:ascii="Arial" w:hAnsi="Arial" w:cs="Arial"/>
    </w:rPr>
  </w:style>
  <w:style w:type="paragraph" w:styleId="Pedmtkomente">
    <w:name w:val="annotation subject"/>
    <w:basedOn w:val="Textkomente"/>
    <w:next w:val="Textkomente"/>
    <w:link w:val="PedmtkomenteChar"/>
    <w:rsid w:val="00B839BA"/>
    <w:rPr>
      <w:b/>
      <w:bCs/>
    </w:rPr>
  </w:style>
  <w:style w:type="character" w:customStyle="1" w:styleId="PedmtkomenteChar">
    <w:name w:val="Předmět komentáře Char"/>
    <w:link w:val="Pedmtkomente"/>
    <w:rsid w:val="00B839BA"/>
    <w:rPr>
      <w:rFonts w:ascii="Arial" w:hAnsi="Arial" w:cs="Arial"/>
      <w:b/>
      <w:bCs/>
    </w:rPr>
  </w:style>
  <w:style w:type="character" w:customStyle="1" w:styleId="FormtovanvHTMLChar">
    <w:name w:val="Formátovaný v HTML Char"/>
    <w:link w:val="FormtovanvHTML"/>
    <w:uiPriority w:val="99"/>
    <w:rsid w:val="0043115E"/>
    <w:rPr>
      <w:rFonts w:ascii="Courier New" w:hAnsi="Courier New" w:cs="Courier New"/>
    </w:rPr>
  </w:style>
  <w:style w:type="character" w:customStyle="1" w:styleId="Nevyeenzmnka1">
    <w:name w:val="Nevyřešená zmínka1"/>
    <w:uiPriority w:val="99"/>
    <w:semiHidden/>
    <w:unhideWhenUsed/>
    <w:rsid w:val="00A7414F"/>
    <w:rPr>
      <w:color w:val="605E5C"/>
      <w:shd w:val="clear" w:color="auto" w:fill="E1DFDD"/>
    </w:rPr>
  </w:style>
  <w:style w:type="paragraph" w:styleId="Odstavecseseznamem">
    <w:name w:val="List Paragraph"/>
    <w:aliases w:val="List Level 1,PRI Bullets,Bullet Paragraph,References,маркированный,Main numbered paragraph,Question"/>
    <w:basedOn w:val="Normln"/>
    <w:link w:val="OdstavecseseznamemChar"/>
    <w:uiPriority w:val="34"/>
    <w:qFormat/>
    <w:rsid w:val="00B93072"/>
    <w:pPr>
      <w:ind w:left="720"/>
      <w:contextualSpacing/>
    </w:pPr>
  </w:style>
  <w:style w:type="character" w:customStyle="1" w:styleId="NzevChar">
    <w:name w:val="Název Char"/>
    <w:basedOn w:val="Standardnpsmoodstavce"/>
    <w:link w:val="Nzev"/>
    <w:uiPriority w:val="10"/>
    <w:rsid w:val="007238DA"/>
    <w:rPr>
      <w:rFonts w:ascii="Arial" w:hAnsi="Arial" w:cs="Arial"/>
      <w:b/>
      <w:bCs/>
      <w:kern w:val="28"/>
      <w:sz w:val="32"/>
      <w:szCs w:val="32"/>
    </w:rPr>
  </w:style>
  <w:style w:type="paragraph" w:styleId="Revize">
    <w:name w:val="Revision"/>
    <w:hidden/>
    <w:uiPriority w:val="99"/>
    <w:semiHidden/>
    <w:rsid w:val="00DE5661"/>
    <w:rPr>
      <w:rFonts w:ascii="Arial" w:hAnsi="Arial" w:cs="Arial"/>
    </w:rPr>
  </w:style>
  <w:style w:type="character" w:customStyle="1" w:styleId="Nevyeenzmnka2">
    <w:name w:val="Nevyřešená zmínka2"/>
    <w:basedOn w:val="Standardnpsmoodstavce"/>
    <w:uiPriority w:val="99"/>
    <w:semiHidden/>
    <w:unhideWhenUsed/>
    <w:rsid w:val="00431E52"/>
    <w:rPr>
      <w:color w:val="605E5C"/>
      <w:shd w:val="clear" w:color="auto" w:fill="E1DFDD"/>
    </w:rPr>
  </w:style>
  <w:style w:type="paragraph" w:customStyle="1" w:styleId="FIL3Body">
    <w:name w:val="FIL_3_Body"/>
    <w:basedOn w:val="Normln"/>
    <w:qFormat/>
    <w:rsid w:val="00611687"/>
    <w:pPr>
      <w:spacing w:before="45" w:after="120" w:line="276" w:lineRule="auto"/>
      <w:jc w:val="left"/>
    </w:pPr>
    <w:rPr>
      <w:rFonts w:cs="Times New Roman"/>
      <w:color w:val="555555"/>
      <w:sz w:val="18"/>
      <w:szCs w:val="24"/>
      <w:lang w:val="en-GB" w:eastAsia="en-GB"/>
    </w:rPr>
  </w:style>
  <w:style w:type="paragraph" w:customStyle="1" w:styleId="f2-zkladn0">
    <w:name w:val="f2-zkladn"/>
    <w:basedOn w:val="Normln"/>
    <w:rsid w:val="00D404D5"/>
    <w:pPr>
      <w:spacing w:before="100" w:beforeAutospacing="1" w:after="100" w:afterAutospacing="1" w:line="240" w:lineRule="auto"/>
      <w:jc w:val="left"/>
    </w:pPr>
    <w:rPr>
      <w:rFonts w:ascii="Times New Roman" w:hAnsi="Times New Roman" w:cs="Times New Roman"/>
      <w:sz w:val="24"/>
      <w:szCs w:val="24"/>
    </w:rPr>
  </w:style>
  <w:style w:type="paragraph" w:customStyle="1" w:styleId="body-l">
    <w:name w:val="body-l"/>
    <w:basedOn w:val="Normln"/>
    <w:rsid w:val="0057387E"/>
    <w:pPr>
      <w:spacing w:before="100" w:beforeAutospacing="1" w:after="100" w:afterAutospacing="1" w:line="240" w:lineRule="auto"/>
      <w:jc w:val="left"/>
    </w:pPr>
    <w:rPr>
      <w:rFonts w:ascii="Times New Roman" w:hAnsi="Times New Roman" w:cs="Times New Roman"/>
      <w:sz w:val="24"/>
      <w:szCs w:val="24"/>
    </w:rPr>
  </w:style>
  <w:style w:type="paragraph" w:customStyle="1" w:styleId="paragraph">
    <w:name w:val="paragraph"/>
    <w:basedOn w:val="Normln"/>
    <w:rsid w:val="006B6F61"/>
    <w:pPr>
      <w:spacing w:before="100" w:beforeAutospacing="1" w:after="100" w:afterAutospacing="1" w:line="240" w:lineRule="auto"/>
      <w:jc w:val="left"/>
    </w:pPr>
    <w:rPr>
      <w:rFonts w:ascii="Times New Roman" w:hAnsi="Times New Roman" w:cs="Times New Roman"/>
      <w:sz w:val="24"/>
      <w:szCs w:val="24"/>
      <w:lang w:val="en-GB" w:eastAsia="zh-CN"/>
    </w:rPr>
  </w:style>
  <w:style w:type="character" w:customStyle="1" w:styleId="normaltextrun">
    <w:name w:val="normaltextrun"/>
    <w:basedOn w:val="Standardnpsmoodstavce"/>
    <w:rsid w:val="006B6F61"/>
  </w:style>
  <w:style w:type="character" w:customStyle="1" w:styleId="eop">
    <w:name w:val="eop"/>
    <w:basedOn w:val="Standardnpsmoodstavce"/>
    <w:rsid w:val="006B6F61"/>
  </w:style>
  <w:style w:type="paragraph" w:customStyle="1" w:styleId="xmsonormal">
    <w:name w:val="x_msonormal"/>
    <w:basedOn w:val="Normln"/>
    <w:rsid w:val="00A82114"/>
    <w:pPr>
      <w:spacing w:before="0" w:line="240" w:lineRule="auto"/>
      <w:jc w:val="left"/>
    </w:pPr>
    <w:rPr>
      <w:rFonts w:ascii="Calibri" w:eastAsia="Gulim" w:hAnsi="Calibri" w:cs="Calibri"/>
      <w:sz w:val="22"/>
      <w:szCs w:val="22"/>
      <w:lang w:val="en-GB" w:eastAsia="ko-KR"/>
    </w:rPr>
  </w:style>
  <w:style w:type="character" w:customStyle="1" w:styleId="OdstavecseseznamemChar">
    <w:name w:val="Odstavec se seznamem Char"/>
    <w:aliases w:val="List Level 1 Char,PRI Bullets Char,Bullet Paragraph Char,References Char,маркированный Char,Main numbered paragraph Char,Question Char"/>
    <w:link w:val="Odstavecseseznamem"/>
    <w:uiPriority w:val="34"/>
    <w:locked/>
    <w:rsid w:val="00A82114"/>
    <w:rPr>
      <w:rFonts w:ascii="Arial" w:hAnsi="Arial" w:cs="Arial"/>
    </w:rPr>
  </w:style>
  <w:style w:type="character" w:customStyle="1" w:styleId="ui-provider">
    <w:name w:val="ui-provider"/>
    <w:basedOn w:val="Standardnpsmoodstavce"/>
    <w:rsid w:val="00EB5B49"/>
  </w:style>
  <w:style w:type="character" w:customStyle="1" w:styleId="Nevyeenzmnka3">
    <w:name w:val="Nevyřešená zmínka3"/>
    <w:basedOn w:val="Standardnpsmoodstavce"/>
    <w:uiPriority w:val="99"/>
    <w:semiHidden/>
    <w:unhideWhenUsed/>
    <w:rsid w:val="00AB759C"/>
    <w:rPr>
      <w:color w:val="605E5C"/>
      <w:shd w:val="clear" w:color="auto" w:fill="E1DFDD"/>
    </w:rPr>
  </w:style>
  <w:style w:type="character" w:customStyle="1" w:styleId="TextpoznpodarouChar">
    <w:name w:val="Text pozn. pod čarou Char"/>
    <w:basedOn w:val="Standardnpsmoodstavce"/>
    <w:link w:val="Textpoznpodarou"/>
    <w:uiPriority w:val="99"/>
    <w:semiHidden/>
    <w:rsid w:val="00EF3AB4"/>
    <w:rPr>
      <w:rFonts w:ascii="Arial" w:hAnsi="Arial" w:cs="Arial"/>
      <w:sz w:val="16"/>
      <w:szCs w:val="16"/>
    </w:rPr>
  </w:style>
  <w:style w:type="character" w:customStyle="1" w:styleId="cf01">
    <w:name w:val="cf01"/>
    <w:basedOn w:val="Standardnpsmoodstavce"/>
    <w:rsid w:val="00EF3AB4"/>
    <w:rPr>
      <w:rFonts w:ascii="Segoe UI" w:hAnsi="Segoe UI" w:cs="Segoe UI" w:hint="default"/>
      <w:sz w:val="18"/>
      <w:szCs w:val="18"/>
    </w:rPr>
  </w:style>
  <w:style w:type="character" w:styleId="Nevyeenzmnka">
    <w:name w:val="Unresolved Mention"/>
    <w:basedOn w:val="Standardnpsmoodstavce"/>
    <w:uiPriority w:val="99"/>
    <w:semiHidden/>
    <w:unhideWhenUsed/>
    <w:rsid w:val="00884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215">
      <w:bodyDiv w:val="1"/>
      <w:marLeft w:val="0"/>
      <w:marRight w:val="0"/>
      <w:marTop w:val="0"/>
      <w:marBottom w:val="0"/>
      <w:divBdr>
        <w:top w:val="none" w:sz="0" w:space="0" w:color="auto"/>
        <w:left w:val="none" w:sz="0" w:space="0" w:color="auto"/>
        <w:bottom w:val="none" w:sz="0" w:space="0" w:color="auto"/>
        <w:right w:val="none" w:sz="0" w:space="0" w:color="auto"/>
      </w:divBdr>
    </w:div>
    <w:div w:id="26224290">
      <w:bodyDiv w:val="1"/>
      <w:marLeft w:val="0"/>
      <w:marRight w:val="0"/>
      <w:marTop w:val="0"/>
      <w:marBottom w:val="0"/>
      <w:divBdr>
        <w:top w:val="none" w:sz="0" w:space="0" w:color="auto"/>
        <w:left w:val="none" w:sz="0" w:space="0" w:color="auto"/>
        <w:bottom w:val="none" w:sz="0" w:space="0" w:color="auto"/>
        <w:right w:val="none" w:sz="0" w:space="0" w:color="auto"/>
      </w:divBdr>
    </w:div>
    <w:div w:id="32000940">
      <w:bodyDiv w:val="1"/>
      <w:marLeft w:val="0"/>
      <w:marRight w:val="0"/>
      <w:marTop w:val="0"/>
      <w:marBottom w:val="0"/>
      <w:divBdr>
        <w:top w:val="none" w:sz="0" w:space="0" w:color="auto"/>
        <w:left w:val="none" w:sz="0" w:space="0" w:color="auto"/>
        <w:bottom w:val="none" w:sz="0" w:space="0" w:color="auto"/>
        <w:right w:val="none" w:sz="0" w:space="0" w:color="auto"/>
      </w:divBdr>
    </w:div>
    <w:div w:id="47845716">
      <w:bodyDiv w:val="1"/>
      <w:marLeft w:val="0"/>
      <w:marRight w:val="0"/>
      <w:marTop w:val="0"/>
      <w:marBottom w:val="0"/>
      <w:divBdr>
        <w:top w:val="none" w:sz="0" w:space="0" w:color="auto"/>
        <w:left w:val="none" w:sz="0" w:space="0" w:color="auto"/>
        <w:bottom w:val="none" w:sz="0" w:space="0" w:color="auto"/>
        <w:right w:val="none" w:sz="0" w:space="0" w:color="auto"/>
      </w:divBdr>
    </w:div>
    <w:div w:id="93790362">
      <w:bodyDiv w:val="1"/>
      <w:marLeft w:val="0"/>
      <w:marRight w:val="0"/>
      <w:marTop w:val="0"/>
      <w:marBottom w:val="0"/>
      <w:divBdr>
        <w:top w:val="none" w:sz="0" w:space="0" w:color="auto"/>
        <w:left w:val="none" w:sz="0" w:space="0" w:color="auto"/>
        <w:bottom w:val="none" w:sz="0" w:space="0" w:color="auto"/>
        <w:right w:val="none" w:sz="0" w:space="0" w:color="auto"/>
      </w:divBdr>
    </w:div>
    <w:div w:id="117335800">
      <w:bodyDiv w:val="1"/>
      <w:marLeft w:val="0"/>
      <w:marRight w:val="0"/>
      <w:marTop w:val="0"/>
      <w:marBottom w:val="0"/>
      <w:divBdr>
        <w:top w:val="none" w:sz="0" w:space="0" w:color="auto"/>
        <w:left w:val="none" w:sz="0" w:space="0" w:color="auto"/>
        <w:bottom w:val="none" w:sz="0" w:space="0" w:color="auto"/>
        <w:right w:val="none" w:sz="0" w:space="0" w:color="auto"/>
      </w:divBdr>
    </w:div>
    <w:div w:id="130027365">
      <w:bodyDiv w:val="1"/>
      <w:marLeft w:val="0"/>
      <w:marRight w:val="0"/>
      <w:marTop w:val="0"/>
      <w:marBottom w:val="0"/>
      <w:divBdr>
        <w:top w:val="none" w:sz="0" w:space="0" w:color="auto"/>
        <w:left w:val="none" w:sz="0" w:space="0" w:color="auto"/>
        <w:bottom w:val="none" w:sz="0" w:space="0" w:color="auto"/>
        <w:right w:val="none" w:sz="0" w:space="0" w:color="auto"/>
      </w:divBdr>
    </w:div>
    <w:div w:id="171918904">
      <w:bodyDiv w:val="1"/>
      <w:marLeft w:val="0"/>
      <w:marRight w:val="0"/>
      <w:marTop w:val="0"/>
      <w:marBottom w:val="0"/>
      <w:divBdr>
        <w:top w:val="none" w:sz="0" w:space="0" w:color="auto"/>
        <w:left w:val="none" w:sz="0" w:space="0" w:color="auto"/>
        <w:bottom w:val="none" w:sz="0" w:space="0" w:color="auto"/>
        <w:right w:val="none" w:sz="0" w:space="0" w:color="auto"/>
      </w:divBdr>
    </w:div>
    <w:div w:id="196479142">
      <w:bodyDiv w:val="1"/>
      <w:marLeft w:val="0"/>
      <w:marRight w:val="0"/>
      <w:marTop w:val="0"/>
      <w:marBottom w:val="0"/>
      <w:divBdr>
        <w:top w:val="none" w:sz="0" w:space="0" w:color="auto"/>
        <w:left w:val="none" w:sz="0" w:space="0" w:color="auto"/>
        <w:bottom w:val="none" w:sz="0" w:space="0" w:color="auto"/>
        <w:right w:val="none" w:sz="0" w:space="0" w:color="auto"/>
      </w:divBdr>
    </w:div>
    <w:div w:id="198670851">
      <w:bodyDiv w:val="1"/>
      <w:marLeft w:val="0"/>
      <w:marRight w:val="0"/>
      <w:marTop w:val="0"/>
      <w:marBottom w:val="0"/>
      <w:divBdr>
        <w:top w:val="none" w:sz="0" w:space="0" w:color="auto"/>
        <w:left w:val="none" w:sz="0" w:space="0" w:color="auto"/>
        <w:bottom w:val="none" w:sz="0" w:space="0" w:color="auto"/>
        <w:right w:val="none" w:sz="0" w:space="0" w:color="auto"/>
      </w:divBdr>
    </w:div>
    <w:div w:id="226259287">
      <w:bodyDiv w:val="1"/>
      <w:marLeft w:val="0"/>
      <w:marRight w:val="0"/>
      <w:marTop w:val="0"/>
      <w:marBottom w:val="0"/>
      <w:divBdr>
        <w:top w:val="none" w:sz="0" w:space="0" w:color="auto"/>
        <w:left w:val="none" w:sz="0" w:space="0" w:color="auto"/>
        <w:bottom w:val="none" w:sz="0" w:space="0" w:color="auto"/>
        <w:right w:val="none" w:sz="0" w:space="0" w:color="auto"/>
      </w:divBdr>
    </w:div>
    <w:div w:id="229002302">
      <w:bodyDiv w:val="1"/>
      <w:marLeft w:val="0"/>
      <w:marRight w:val="0"/>
      <w:marTop w:val="0"/>
      <w:marBottom w:val="0"/>
      <w:divBdr>
        <w:top w:val="none" w:sz="0" w:space="0" w:color="auto"/>
        <w:left w:val="none" w:sz="0" w:space="0" w:color="auto"/>
        <w:bottom w:val="none" w:sz="0" w:space="0" w:color="auto"/>
        <w:right w:val="none" w:sz="0" w:space="0" w:color="auto"/>
      </w:divBdr>
    </w:div>
    <w:div w:id="259224303">
      <w:bodyDiv w:val="1"/>
      <w:marLeft w:val="0"/>
      <w:marRight w:val="0"/>
      <w:marTop w:val="0"/>
      <w:marBottom w:val="0"/>
      <w:divBdr>
        <w:top w:val="none" w:sz="0" w:space="0" w:color="auto"/>
        <w:left w:val="none" w:sz="0" w:space="0" w:color="auto"/>
        <w:bottom w:val="none" w:sz="0" w:space="0" w:color="auto"/>
        <w:right w:val="none" w:sz="0" w:space="0" w:color="auto"/>
      </w:divBdr>
    </w:div>
    <w:div w:id="269316379">
      <w:bodyDiv w:val="1"/>
      <w:marLeft w:val="0"/>
      <w:marRight w:val="0"/>
      <w:marTop w:val="0"/>
      <w:marBottom w:val="0"/>
      <w:divBdr>
        <w:top w:val="none" w:sz="0" w:space="0" w:color="auto"/>
        <w:left w:val="none" w:sz="0" w:space="0" w:color="auto"/>
        <w:bottom w:val="none" w:sz="0" w:space="0" w:color="auto"/>
        <w:right w:val="none" w:sz="0" w:space="0" w:color="auto"/>
      </w:divBdr>
    </w:div>
    <w:div w:id="305555488">
      <w:bodyDiv w:val="1"/>
      <w:marLeft w:val="0"/>
      <w:marRight w:val="0"/>
      <w:marTop w:val="0"/>
      <w:marBottom w:val="0"/>
      <w:divBdr>
        <w:top w:val="none" w:sz="0" w:space="0" w:color="auto"/>
        <w:left w:val="none" w:sz="0" w:space="0" w:color="auto"/>
        <w:bottom w:val="none" w:sz="0" w:space="0" w:color="auto"/>
        <w:right w:val="none" w:sz="0" w:space="0" w:color="auto"/>
      </w:divBdr>
    </w:div>
    <w:div w:id="341783882">
      <w:bodyDiv w:val="1"/>
      <w:marLeft w:val="0"/>
      <w:marRight w:val="0"/>
      <w:marTop w:val="0"/>
      <w:marBottom w:val="0"/>
      <w:divBdr>
        <w:top w:val="none" w:sz="0" w:space="0" w:color="auto"/>
        <w:left w:val="none" w:sz="0" w:space="0" w:color="auto"/>
        <w:bottom w:val="none" w:sz="0" w:space="0" w:color="auto"/>
        <w:right w:val="none" w:sz="0" w:space="0" w:color="auto"/>
      </w:divBdr>
    </w:div>
    <w:div w:id="346177067">
      <w:bodyDiv w:val="1"/>
      <w:marLeft w:val="0"/>
      <w:marRight w:val="0"/>
      <w:marTop w:val="0"/>
      <w:marBottom w:val="0"/>
      <w:divBdr>
        <w:top w:val="none" w:sz="0" w:space="0" w:color="auto"/>
        <w:left w:val="none" w:sz="0" w:space="0" w:color="auto"/>
        <w:bottom w:val="none" w:sz="0" w:space="0" w:color="auto"/>
        <w:right w:val="none" w:sz="0" w:space="0" w:color="auto"/>
      </w:divBdr>
    </w:div>
    <w:div w:id="349262461">
      <w:bodyDiv w:val="1"/>
      <w:marLeft w:val="0"/>
      <w:marRight w:val="0"/>
      <w:marTop w:val="0"/>
      <w:marBottom w:val="0"/>
      <w:divBdr>
        <w:top w:val="none" w:sz="0" w:space="0" w:color="auto"/>
        <w:left w:val="none" w:sz="0" w:space="0" w:color="auto"/>
        <w:bottom w:val="none" w:sz="0" w:space="0" w:color="auto"/>
        <w:right w:val="none" w:sz="0" w:space="0" w:color="auto"/>
      </w:divBdr>
    </w:div>
    <w:div w:id="358316845">
      <w:bodyDiv w:val="1"/>
      <w:marLeft w:val="0"/>
      <w:marRight w:val="0"/>
      <w:marTop w:val="0"/>
      <w:marBottom w:val="0"/>
      <w:divBdr>
        <w:top w:val="none" w:sz="0" w:space="0" w:color="auto"/>
        <w:left w:val="none" w:sz="0" w:space="0" w:color="auto"/>
        <w:bottom w:val="none" w:sz="0" w:space="0" w:color="auto"/>
        <w:right w:val="none" w:sz="0" w:space="0" w:color="auto"/>
      </w:divBdr>
    </w:div>
    <w:div w:id="399639357">
      <w:bodyDiv w:val="1"/>
      <w:marLeft w:val="0"/>
      <w:marRight w:val="0"/>
      <w:marTop w:val="0"/>
      <w:marBottom w:val="0"/>
      <w:divBdr>
        <w:top w:val="none" w:sz="0" w:space="0" w:color="auto"/>
        <w:left w:val="none" w:sz="0" w:space="0" w:color="auto"/>
        <w:bottom w:val="none" w:sz="0" w:space="0" w:color="auto"/>
        <w:right w:val="none" w:sz="0" w:space="0" w:color="auto"/>
      </w:divBdr>
    </w:div>
    <w:div w:id="410666629">
      <w:bodyDiv w:val="1"/>
      <w:marLeft w:val="0"/>
      <w:marRight w:val="0"/>
      <w:marTop w:val="0"/>
      <w:marBottom w:val="0"/>
      <w:divBdr>
        <w:top w:val="none" w:sz="0" w:space="0" w:color="auto"/>
        <w:left w:val="none" w:sz="0" w:space="0" w:color="auto"/>
        <w:bottom w:val="none" w:sz="0" w:space="0" w:color="auto"/>
        <w:right w:val="none" w:sz="0" w:space="0" w:color="auto"/>
      </w:divBdr>
    </w:div>
    <w:div w:id="418914697">
      <w:bodyDiv w:val="1"/>
      <w:marLeft w:val="0"/>
      <w:marRight w:val="0"/>
      <w:marTop w:val="0"/>
      <w:marBottom w:val="0"/>
      <w:divBdr>
        <w:top w:val="none" w:sz="0" w:space="0" w:color="auto"/>
        <w:left w:val="none" w:sz="0" w:space="0" w:color="auto"/>
        <w:bottom w:val="none" w:sz="0" w:space="0" w:color="auto"/>
        <w:right w:val="none" w:sz="0" w:space="0" w:color="auto"/>
      </w:divBdr>
    </w:div>
    <w:div w:id="446317804">
      <w:bodyDiv w:val="1"/>
      <w:marLeft w:val="0"/>
      <w:marRight w:val="0"/>
      <w:marTop w:val="0"/>
      <w:marBottom w:val="0"/>
      <w:divBdr>
        <w:top w:val="none" w:sz="0" w:space="0" w:color="auto"/>
        <w:left w:val="none" w:sz="0" w:space="0" w:color="auto"/>
        <w:bottom w:val="none" w:sz="0" w:space="0" w:color="auto"/>
        <w:right w:val="none" w:sz="0" w:space="0" w:color="auto"/>
      </w:divBdr>
    </w:div>
    <w:div w:id="473720710">
      <w:bodyDiv w:val="1"/>
      <w:marLeft w:val="0"/>
      <w:marRight w:val="0"/>
      <w:marTop w:val="0"/>
      <w:marBottom w:val="0"/>
      <w:divBdr>
        <w:top w:val="none" w:sz="0" w:space="0" w:color="auto"/>
        <w:left w:val="none" w:sz="0" w:space="0" w:color="auto"/>
        <w:bottom w:val="none" w:sz="0" w:space="0" w:color="auto"/>
        <w:right w:val="none" w:sz="0" w:space="0" w:color="auto"/>
      </w:divBdr>
    </w:div>
    <w:div w:id="494226105">
      <w:bodyDiv w:val="1"/>
      <w:marLeft w:val="0"/>
      <w:marRight w:val="0"/>
      <w:marTop w:val="0"/>
      <w:marBottom w:val="0"/>
      <w:divBdr>
        <w:top w:val="none" w:sz="0" w:space="0" w:color="auto"/>
        <w:left w:val="none" w:sz="0" w:space="0" w:color="auto"/>
        <w:bottom w:val="none" w:sz="0" w:space="0" w:color="auto"/>
        <w:right w:val="none" w:sz="0" w:space="0" w:color="auto"/>
      </w:divBdr>
    </w:div>
    <w:div w:id="496727072">
      <w:bodyDiv w:val="1"/>
      <w:marLeft w:val="0"/>
      <w:marRight w:val="0"/>
      <w:marTop w:val="0"/>
      <w:marBottom w:val="0"/>
      <w:divBdr>
        <w:top w:val="none" w:sz="0" w:space="0" w:color="auto"/>
        <w:left w:val="none" w:sz="0" w:space="0" w:color="auto"/>
        <w:bottom w:val="none" w:sz="0" w:space="0" w:color="auto"/>
        <w:right w:val="none" w:sz="0" w:space="0" w:color="auto"/>
      </w:divBdr>
    </w:div>
    <w:div w:id="509566217">
      <w:bodyDiv w:val="1"/>
      <w:marLeft w:val="0"/>
      <w:marRight w:val="0"/>
      <w:marTop w:val="0"/>
      <w:marBottom w:val="0"/>
      <w:divBdr>
        <w:top w:val="none" w:sz="0" w:space="0" w:color="auto"/>
        <w:left w:val="none" w:sz="0" w:space="0" w:color="auto"/>
        <w:bottom w:val="none" w:sz="0" w:space="0" w:color="auto"/>
        <w:right w:val="none" w:sz="0" w:space="0" w:color="auto"/>
      </w:divBdr>
    </w:div>
    <w:div w:id="515775441">
      <w:bodyDiv w:val="1"/>
      <w:marLeft w:val="0"/>
      <w:marRight w:val="0"/>
      <w:marTop w:val="0"/>
      <w:marBottom w:val="0"/>
      <w:divBdr>
        <w:top w:val="none" w:sz="0" w:space="0" w:color="auto"/>
        <w:left w:val="none" w:sz="0" w:space="0" w:color="auto"/>
        <w:bottom w:val="none" w:sz="0" w:space="0" w:color="auto"/>
        <w:right w:val="none" w:sz="0" w:space="0" w:color="auto"/>
      </w:divBdr>
    </w:div>
    <w:div w:id="565262955">
      <w:bodyDiv w:val="1"/>
      <w:marLeft w:val="0"/>
      <w:marRight w:val="0"/>
      <w:marTop w:val="0"/>
      <w:marBottom w:val="0"/>
      <w:divBdr>
        <w:top w:val="none" w:sz="0" w:space="0" w:color="auto"/>
        <w:left w:val="none" w:sz="0" w:space="0" w:color="auto"/>
        <w:bottom w:val="none" w:sz="0" w:space="0" w:color="auto"/>
        <w:right w:val="none" w:sz="0" w:space="0" w:color="auto"/>
      </w:divBdr>
    </w:div>
    <w:div w:id="586184741">
      <w:bodyDiv w:val="1"/>
      <w:marLeft w:val="0"/>
      <w:marRight w:val="0"/>
      <w:marTop w:val="0"/>
      <w:marBottom w:val="0"/>
      <w:divBdr>
        <w:top w:val="none" w:sz="0" w:space="0" w:color="auto"/>
        <w:left w:val="none" w:sz="0" w:space="0" w:color="auto"/>
        <w:bottom w:val="none" w:sz="0" w:space="0" w:color="auto"/>
        <w:right w:val="none" w:sz="0" w:space="0" w:color="auto"/>
      </w:divBdr>
    </w:div>
    <w:div w:id="589004206">
      <w:bodyDiv w:val="1"/>
      <w:marLeft w:val="0"/>
      <w:marRight w:val="0"/>
      <w:marTop w:val="0"/>
      <w:marBottom w:val="0"/>
      <w:divBdr>
        <w:top w:val="none" w:sz="0" w:space="0" w:color="auto"/>
        <w:left w:val="none" w:sz="0" w:space="0" w:color="auto"/>
        <w:bottom w:val="none" w:sz="0" w:space="0" w:color="auto"/>
        <w:right w:val="none" w:sz="0" w:space="0" w:color="auto"/>
      </w:divBdr>
    </w:div>
    <w:div w:id="608702094">
      <w:bodyDiv w:val="1"/>
      <w:marLeft w:val="0"/>
      <w:marRight w:val="0"/>
      <w:marTop w:val="0"/>
      <w:marBottom w:val="0"/>
      <w:divBdr>
        <w:top w:val="none" w:sz="0" w:space="0" w:color="auto"/>
        <w:left w:val="none" w:sz="0" w:space="0" w:color="auto"/>
        <w:bottom w:val="none" w:sz="0" w:space="0" w:color="auto"/>
        <w:right w:val="none" w:sz="0" w:space="0" w:color="auto"/>
      </w:divBdr>
    </w:div>
    <w:div w:id="609049184">
      <w:bodyDiv w:val="1"/>
      <w:marLeft w:val="0"/>
      <w:marRight w:val="0"/>
      <w:marTop w:val="0"/>
      <w:marBottom w:val="0"/>
      <w:divBdr>
        <w:top w:val="none" w:sz="0" w:space="0" w:color="auto"/>
        <w:left w:val="none" w:sz="0" w:space="0" w:color="auto"/>
        <w:bottom w:val="none" w:sz="0" w:space="0" w:color="auto"/>
        <w:right w:val="none" w:sz="0" w:space="0" w:color="auto"/>
      </w:divBdr>
    </w:div>
    <w:div w:id="642273546">
      <w:bodyDiv w:val="1"/>
      <w:marLeft w:val="0"/>
      <w:marRight w:val="0"/>
      <w:marTop w:val="0"/>
      <w:marBottom w:val="0"/>
      <w:divBdr>
        <w:top w:val="none" w:sz="0" w:space="0" w:color="auto"/>
        <w:left w:val="none" w:sz="0" w:space="0" w:color="auto"/>
        <w:bottom w:val="none" w:sz="0" w:space="0" w:color="auto"/>
        <w:right w:val="none" w:sz="0" w:space="0" w:color="auto"/>
      </w:divBdr>
    </w:div>
    <w:div w:id="645664831">
      <w:bodyDiv w:val="1"/>
      <w:marLeft w:val="0"/>
      <w:marRight w:val="0"/>
      <w:marTop w:val="0"/>
      <w:marBottom w:val="0"/>
      <w:divBdr>
        <w:top w:val="none" w:sz="0" w:space="0" w:color="auto"/>
        <w:left w:val="none" w:sz="0" w:space="0" w:color="auto"/>
        <w:bottom w:val="none" w:sz="0" w:space="0" w:color="auto"/>
        <w:right w:val="none" w:sz="0" w:space="0" w:color="auto"/>
      </w:divBdr>
    </w:div>
    <w:div w:id="667100440">
      <w:bodyDiv w:val="1"/>
      <w:marLeft w:val="0"/>
      <w:marRight w:val="0"/>
      <w:marTop w:val="0"/>
      <w:marBottom w:val="0"/>
      <w:divBdr>
        <w:top w:val="none" w:sz="0" w:space="0" w:color="auto"/>
        <w:left w:val="none" w:sz="0" w:space="0" w:color="auto"/>
        <w:bottom w:val="none" w:sz="0" w:space="0" w:color="auto"/>
        <w:right w:val="none" w:sz="0" w:space="0" w:color="auto"/>
      </w:divBdr>
    </w:div>
    <w:div w:id="777919185">
      <w:bodyDiv w:val="1"/>
      <w:marLeft w:val="0"/>
      <w:marRight w:val="0"/>
      <w:marTop w:val="0"/>
      <w:marBottom w:val="0"/>
      <w:divBdr>
        <w:top w:val="none" w:sz="0" w:space="0" w:color="auto"/>
        <w:left w:val="none" w:sz="0" w:space="0" w:color="auto"/>
        <w:bottom w:val="none" w:sz="0" w:space="0" w:color="auto"/>
        <w:right w:val="none" w:sz="0" w:space="0" w:color="auto"/>
      </w:divBdr>
    </w:div>
    <w:div w:id="814950803">
      <w:bodyDiv w:val="1"/>
      <w:marLeft w:val="0"/>
      <w:marRight w:val="0"/>
      <w:marTop w:val="0"/>
      <w:marBottom w:val="0"/>
      <w:divBdr>
        <w:top w:val="none" w:sz="0" w:space="0" w:color="auto"/>
        <w:left w:val="none" w:sz="0" w:space="0" w:color="auto"/>
        <w:bottom w:val="none" w:sz="0" w:space="0" w:color="auto"/>
        <w:right w:val="none" w:sz="0" w:space="0" w:color="auto"/>
      </w:divBdr>
    </w:div>
    <w:div w:id="833183269">
      <w:bodyDiv w:val="1"/>
      <w:marLeft w:val="0"/>
      <w:marRight w:val="0"/>
      <w:marTop w:val="0"/>
      <w:marBottom w:val="0"/>
      <w:divBdr>
        <w:top w:val="none" w:sz="0" w:space="0" w:color="auto"/>
        <w:left w:val="none" w:sz="0" w:space="0" w:color="auto"/>
        <w:bottom w:val="none" w:sz="0" w:space="0" w:color="auto"/>
        <w:right w:val="none" w:sz="0" w:space="0" w:color="auto"/>
      </w:divBdr>
    </w:div>
    <w:div w:id="840465814">
      <w:bodyDiv w:val="1"/>
      <w:marLeft w:val="0"/>
      <w:marRight w:val="0"/>
      <w:marTop w:val="0"/>
      <w:marBottom w:val="0"/>
      <w:divBdr>
        <w:top w:val="none" w:sz="0" w:space="0" w:color="auto"/>
        <w:left w:val="none" w:sz="0" w:space="0" w:color="auto"/>
        <w:bottom w:val="none" w:sz="0" w:space="0" w:color="auto"/>
        <w:right w:val="none" w:sz="0" w:space="0" w:color="auto"/>
      </w:divBdr>
    </w:div>
    <w:div w:id="842860217">
      <w:bodyDiv w:val="1"/>
      <w:marLeft w:val="0"/>
      <w:marRight w:val="0"/>
      <w:marTop w:val="0"/>
      <w:marBottom w:val="0"/>
      <w:divBdr>
        <w:top w:val="none" w:sz="0" w:space="0" w:color="auto"/>
        <w:left w:val="none" w:sz="0" w:space="0" w:color="auto"/>
        <w:bottom w:val="none" w:sz="0" w:space="0" w:color="auto"/>
        <w:right w:val="none" w:sz="0" w:space="0" w:color="auto"/>
      </w:divBdr>
    </w:div>
    <w:div w:id="854265581">
      <w:bodyDiv w:val="1"/>
      <w:marLeft w:val="0"/>
      <w:marRight w:val="0"/>
      <w:marTop w:val="0"/>
      <w:marBottom w:val="0"/>
      <w:divBdr>
        <w:top w:val="none" w:sz="0" w:space="0" w:color="auto"/>
        <w:left w:val="none" w:sz="0" w:space="0" w:color="auto"/>
        <w:bottom w:val="none" w:sz="0" w:space="0" w:color="auto"/>
        <w:right w:val="none" w:sz="0" w:space="0" w:color="auto"/>
      </w:divBdr>
    </w:div>
    <w:div w:id="879131442">
      <w:bodyDiv w:val="1"/>
      <w:marLeft w:val="0"/>
      <w:marRight w:val="0"/>
      <w:marTop w:val="0"/>
      <w:marBottom w:val="0"/>
      <w:divBdr>
        <w:top w:val="none" w:sz="0" w:space="0" w:color="auto"/>
        <w:left w:val="none" w:sz="0" w:space="0" w:color="auto"/>
        <w:bottom w:val="none" w:sz="0" w:space="0" w:color="auto"/>
        <w:right w:val="none" w:sz="0" w:space="0" w:color="auto"/>
      </w:divBdr>
    </w:div>
    <w:div w:id="893545164">
      <w:bodyDiv w:val="1"/>
      <w:marLeft w:val="0"/>
      <w:marRight w:val="0"/>
      <w:marTop w:val="0"/>
      <w:marBottom w:val="0"/>
      <w:divBdr>
        <w:top w:val="none" w:sz="0" w:space="0" w:color="auto"/>
        <w:left w:val="none" w:sz="0" w:space="0" w:color="auto"/>
        <w:bottom w:val="none" w:sz="0" w:space="0" w:color="auto"/>
        <w:right w:val="none" w:sz="0" w:space="0" w:color="auto"/>
      </w:divBdr>
    </w:div>
    <w:div w:id="923339379">
      <w:bodyDiv w:val="1"/>
      <w:marLeft w:val="0"/>
      <w:marRight w:val="0"/>
      <w:marTop w:val="0"/>
      <w:marBottom w:val="0"/>
      <w:divBdr>
        <w:top w:val="none" w:sz="0" w:space="0" w:color="auto"/>
        <w:left w:val="none" w:sz="0" w:space="0" w:color="auto"/>
        <w:bottom w:val="none" w:sz="0" w:space="0" w:color="auto"/>
        <w:right w:val="none" w:sz="0" w:space="0" w:color="auto"/>
      </w:divBdr>
    </w:div>
    <w:div w:id="940525266">
      <w:bodyDiv w:val="1"/>
      <w:marLeft w:val="0"/>
      <w:marRight w:val="0"/>
      <w:marTop w:val="0"/>
      <w:marBottom w:val="0"/>
      <w:divBdr>
        <w:top w:val="none" w:sz="0" w:space="0" w:color="auto"/>
        <w:left w:val="none" w:sz="0" w:space="0" w:color="auto"/>
        <w:bottom w:val="none" w:sz="0" w:space="0" w:color="auto"/>
        <w:right w:val="none" w:sz="0" w:space="0" w:color="auto"/>
      </w:divBdr>
    </w:div>
    <w:div w:id="954479567">
      <w:bodyDiv w:val="1"/>
      <w:marLeft w:val="0"/>
      <w:marRight w:val="0"/>
      <w:marTop w:val="0"/>
      <w:marBottom w:val="0"/>
      <w:divBdr>
        <w:top w:val="none" w:sz="0" w:space="0" w:color="auto"/>
        <w:left w:val="none" w:sz="0" w:space="0" w:color="auto"/>
        <w:bottom w:val="none" w:sz="0" w:space="0" w:color="auto"/>
        <w:right w:val="none" w:sz="0" w:space="0" w:color="auto"/>
      </w:divBdr>
    </w:div>
    <w:div w:id="1001737816">
      <w:bodyDiv w:val="1"/>
      <w:marLeft w:val="0"/>
      <w:marRight w:val="0"/>
      <w:marTop w:val="0"/>
      <w:marBottom w:val="0"/>
      <w:divBdr>
        <w:top w:val="none" w:sz="0" w:space="0" w:color="auto"/>
        <w:left w:val="none" w:sz="0" w:space="0" w:color="auto"/>
        <w:bottom w:val="none" w:sz="0" w:space="0" w:color="auto"/>
        <w:right w:val="none" w:sz="0" w:space="0" w:color="auto"/>
      </w:divBdr>
    </w:div>
    <w:div w:id="1008564044">
      <w:bodyDiv w:val="1"/>
      <w:marLeft w:val="0"/>
      <w:marRight w:val="0"/>
      <w:marTop w:val="0"/>
      <w:marBottom w:val="0"/>
      <w:divBdr>
        <w:top w:val="none" w:sz="0" w:space="0" w:color="auto"/>
        <w:left w:val="none" w:sz="0" w:space="0" w:color="auto"/>
        <w:bottom w:val="none" w:sz="0" w:space="0" w:color="auto"/>
        <w:right w:val="none" w:sz="0" w:space="0" w:color="auto"/>
      </w:divBdr>
    </w:div>
    <w:div w:id="1019311681">
      <w:bodyDiv w:val="1"/>
      <w:marLeft w:val="0"/>
      <w:marRight w:val="0"/>
      <w:marTop w:val="0"/>
      <w:marBottom w:val="0"/>
      <w:divBdr>
        <w:top w:val="none" w:sz="0" w:space="0" w:color="auto"/>
        <w:left w:val="none" w:sz="0" w:space="0" w:color="auto"/>
        <w:bottom w:val="none" w:sz="0" w:space="0" w:color="auto"/>
        <w:right w:val="none" w:sz="0" w:space="0" w:color="auto"/>
      </w:divBdr>
    </w:div>
    <w:div w:id="1024863374">
      <w:bodyDiv w:val="1"/>
      <w:marLeft w:val="0"/>
      <w:marRight w:val="0"/>
      <w:marTop w:val="0"/>
      <w:marBottom w:val="0"/>
      <w:divBdr>
        <w:top w:val="none" w:sz="0" w:space="0" w:color="auto"/>
        <w:left w:val="none" w:sz="0" w:space="0" w:color="auto"/>
        <w:bottom w:val="none" w:sz="0" w:space="0" w:color="auto"/>
        <w:right w:val="none" w:sz="0" w:space="0" w:color="auto"/>
      </w:divBdr>
    </w:div>
    <w:div w:id="1054163630">
      <w:bodyDiv w:val="1"/>
      <w:marLeft w:val="0"/>
      <w:marRight w:val="0"/>
      <w:marTop w:val="0"/>
      <w:marBottom w:val="0"/>
      <w:divBdr>
        <w:top w:val="none" w:sz="0" w:space="0" w:color="auto"/>
        <w:left w:val="none" w:sz="0" w:space="0" w:color="auto"/>
        <w:bottom w:val="none" w:sz="0" w:space="0" w:color="auto"/>
        <w:right w:val="none" w:sz="0" w:space="0" w:color="auto"/>
      </w:divBdr>
    </w:div>
    <w:div w:id="1093746309">
      <w:bodyDiv w:val="1"/>
      <w:marLeft w:val="0"/>
      <w:marRight w:val="0"/>
      <w:marTop w:val="0"/>
      <w:marBottom w:val="0"/>
      <w:divBdr>
        <w:top w:val="none" w:sz="0" w:space="0" w:color="auto"/>
        <w:left w:val="none" w:sz="0" w:space="0" w:color="auto"/>
        <w:bottom w:val="none" w:sz="0" w:space="0" w:color="auto"/>
        <w:right w:val="none" w:sz="0" w:space="0" w:color="auto"/>
      </w:divBdr>
    </w:div>
    <w:div w:id="1123814539">
      <w:bodyDiv w:val="1"/>
      <w:marLeft w:val="0"/>
      <w:marRight w:val="0"/>
      <w:marTop w:val="0"/>
      <w:marBottom w:val="0"/>
      <w:divBdr>
        <w:top w:val="none" w:sz="0" w:space="0" w:color="auto"/>
        <w:left w:val="none" w:sz="0" w:space="0" w:color="auto"/>
        <w:bottom w:val="none" w:sz="0" w:space="0" w:color="auto"/>
        <w:right w:val="none" w:sz="0" w:space="0" w:color="auto"/>
      </w:divBdr>
    </w:div>
    <w:div w:id="1128352914">
      <w:bodyDiv w:val="1"/>
      <w:marLeft w:val="0"/>
      <w:marRight w:val="0"/>
      <w:marTop w:val="0"/>
      <w:marBottom w:val="0"/>
      <w:divBdr>
        <w:top w:val="none" w:sz="0" w:space="0" w:color="auto"/>
        <w:left w:val="none" w:sz="0" w:space="0" w:color="auto"/>
        <w:bottom w:val="none" w:sz="0" w:space="0" w:color="auto"/>
        <w:right w:val="none" w:sz="0" w:space="0" w:color="auto"/>
      </w:divBdr>
    </w:div>
    <w:div w:id="1141921708">
      <w:bodyDiv w:val="1"/>
      <w:marLeft w:val="0"/>
      <w:marRight w:val="0"/>
      <w:marTop w:val="0"/>
      <w:marBottom w:val="0"/>
      <w:divBdr>
        <w:top w:val="none" w:sz="0" w:space="0" w:color="auto"/>
        <w:left w:val="none" w:sz="0" w:space="0" w:color="auto"/>
        <w:bottom w:val="none" w:sz="0" w:space="0" w:color="auto"/>
        <w:right w:val="none" w:sz="0" w:space="0" w:color="auto"/>
      </w:divBdr>
    </w:div>
    <w:div w:id="1177961262">
      <w:bodyDiv w:val="1"/>
      <w:marLeft w:val="0"/>
      <w:marRight w:val="0"/>
      <w:marTop w:val="0"/>
      <w:marBottom w:val="0"/>
      <w:divBdr>
        <w:top w:val="none" w:sz="0" w:space="0" w:color="auto"/>
        <w:left w:val="none" w:sz="0" w:space="0" w:color="auto"/>
        <w:bottom w:val="none" w:sz="0" w:space="0" w:color="auto"/>
        <w:right w:val="none" w:sz="0" w:space="0" w:color="auto"/>
      </w:divBdr>
    </w:div>
    <w:div w:id="1180465971">
      <w:bodyDiv w:val="1"/>
      <w:marLeft w:val="0"/>
      <w:marRight w:val="0"/>
      <w:marTop w:val="0"/>
      <w:marBottom w:val="0"/>
      <w:divBdr>
        <w:top w:val="none" w:sz="0" w:space="0" w:color="auto"/>
        <w:left w:val="none" w:sz="0" w:space="0" w:color="auto"/>
        <w:bottom w:val="none" w:sz="0" w:space="0" w:color="auto"/>
        <w:right w:val="none" w:sz="0" w:space="0" w:color="auto"/>
      </w:divBdr>
    </w:div>
    <w:div w:id="1224832783">
      <w:bodyDiv w:val="1"/>
      <w:marLeft w:val="0"/>
      <w:marRight w:val="0"/>
      <w:marTop w:val="0"/>
      <w:marBottom w:val="0"/>
      <w:divBdr>
        <w:top w:val="none" w:sz="0" w:space="0" w:color="auto"/>
        <w:left w:val="none" w:sz="0" w:space="0" w:color="auto"/>
        <w:bottom w:val="none" w:sz="0" w:space="0" w:color="auto"/>
        <w:right w:val="none" w:sz="0" w:space="0" w:color="auto"/>
      </w:divBdr>
    </w:div>
    <w:div w:id="1241478248">
      <w:bodyDiv w:val="1"/>
      <w:marLeft w:val="0"/>
      <w:marRight w:val="0"/>
      <w:marTop w:val="0"/>
      <w:marBottom w:val="0"/>
      <w:divBdr>
        <w:top w:val="none" w:sz="0" w:space="0" w:color="auto"/>
        <w:left w:val="none" w:sz="0" w:space="0" w:color="auto"/>
        <w:bottom w:val="none" w:sz="0" w:space="0" w:color="auto"/>
        <w:right w:val="none" w:sz="0" w:space="0" w:color="auto"/>
      </w:divBdr>
    </w:div>
    <w:div w:id="1244293417">
      <w:bodyDiv w:val="1"/>
      <w:marLeft w:val="0"/>
      <w:marRight w:val="0"/>
      <w:marTop w:val="0"/>
      <w:marBottom w:val="0"/>
      <w:divBdr>
        <w:top w:val="none" w:sz="0" w:space="0" w:color="auto"/>
        <w:left w:val="none" w:sz="0" w:space="0" w:color="auto"/>
        <w:bottom w:val="none" w:sz="0" w:space="0" w:color="auto"/>
        <w:right w:val="none" w:sz="0" w:space="0" w:color="auto"/>
      </w:divBdr>
    </w:div>
    <w:div w:id="1259825597">
      <w:bodyDiv w:val="1"/>
      <w:marLeft w:val="0"/>
      <w:marRight w:val="0"/>
      <w:marTop w:val="0"/>
      <w:marBottom w:val="0"/>
      <w:divBdr>
        <w:top w:val="none" w:sz="0" w:space="0" w:color="auto"/>
        <w:left w:val="none" w:sz="0" w:space="0" w:color="auto"/>
        <w:bottom w:val="none" w:sz="0" w:space="0" w:color="auto"/>
        <w:right w:val="none" w:sz="0" w:space="0" w:color="auto"/>
      </w:divBdr>
    </w:div>
    <w:div w:id="1284263836">
      <w:bodyDiv w:val="1"/>
      <w:marLeft w:val="0"/>
      <w:marRight w:val="0"/>
      <w:marTop w:val="0"/>
      <w:marBottom w:val="0"/>
      <w:divBdr>
        <w:top w:val="none" w:sz="0" w:space="0" w:color="auto"/>
        <w:left w:val="none" w:sz="0" w:space="0" w:color="auto"/>
        <w:bottom w:val="none" w:sz="0" w:space="0" w:color="auto"/>
        <w:right w:val="none" w:sz="0" w:space="0" w:color="auto"/>
      </w:divBdr>
    </w:div>
    <w:div w:id="1367295729">
      <w:bodyDiv w:val="1"/>
      <w:marLeft w:val="0"/>
      <w:marRight w:val="0"/>
      <w:marTop w:val="0"/>
      <w:marBottom w:val="0"/>
      <w:divBdr>
        <w:top w:val="none" w:sz="0" w:space="0" w:color="auto"/>
        <w:left w:val="none" w:sz="0" w:space="0" w:color="auto"/>
        <w:bottom w:val="none" w:sz="0" w:space="0" w:color="auto"/>
        <w:right w:val="none" w:sz="0" w:space="0" w:color="auto"/>
      </w:divBdr>
    </w:div>
    <w:div w:id="1372611917">
      <w:bodyDiv w:val="1"/>
      <w:marLeft w:val="0"/>
      <w:marRight w:val="0"/>
      <w:marTop w:val="0"/>
      <w:marBottom w:val="0"/>
      <w:divBdr>
        <w:top w:val="none" w:sz="0" w:space="0" w:color="auto"/>
        <w:left w:val="none" w:sz="0" w:space="0" w:color="auto"/>
        <w:bottom w:val="none" w:sz="0" w:space="0" w:color="auto"/>
        <w:right w:val="none" w:sz="0" w:space="0" w:color="auto"/>
      </w:divBdr>
    </w:div>
    <w:div w:id="1376393378">
      <w:bodyDiv w:val="1"/>
      <w:marLeft w:val="0"/>
      <w:marRight w:val="0"/>
      <w:marTop w:val="0"/>
      <w:marBottom w:val="0"/>
      <w:divBdr>
        <w:top w:val="none" w:sz="0" w:space="0" w:color="auto"/>
        <w:left w:val="none" w:sz="0" w:space="0" w:color="auto"/>
        <w:bottom w:val="none" w:sz="0" w:space="0" w:color="auto"/>
        <w:right w:val="none" w:sz="0" w:space="0" w:color="auto"/>
      </w:divBdr>
    </w:div>
    <w:div w:id="1379933602">
      <w:bodyDiv w:val="1"/>
      <w:marLeft w:val="0"/>
      <w:marRight w:val="0"/>
      <w:marTop w:val="0"/>
      <w:marBottom w:val="0"/>
      <w:divBdr>
        <w:top w:val="none" w:sz="0" w:space="0" w:color="auto"/>
        <w:left w:val="none" w:sz="0" w:space="0" w:color="auto"/>
        <w:bottom w:val="none" w:sz="0" w:space="0" w:color="auto"/>
        <w:right w:val="none" w:sz="0" w:space="0" w:color="auto"/>
      </w:divBdr>
    </w:div>
    <w:div w:id="1413551838">
      <w:bodyDiv w:val="1"/>
      <w:marLeft w:val="0"/>
      <w:marRight w:val="0"/>
      <w:marTop w:val="0"/>
      <w:marBottom w:val="0"/>
      <w:divBdr>
        <w:top w:val="none" w:sz="0" w:space="0" w:color="auto"/>
        <w:left w:val="none" w:sz="0" w:space="0" w:color="auto"/>
        <w:bottom w:val="none" w:sz="0" w:space="0" w:color="auto"/>
        <w:right w:val="none" w:sz="0" w:space="0" w:color="auto"/>
      </w:divBdr>
    </w:div>
    <w:div w:id="1429038161">
      <w:bodyDiv w:val="1"/>
      <w:marLeft w:val="0"/>
      <w:marRight w:val="0"/>
      <w:marTop w:val="0"/>
      <w:marBottom w:val="0"/>
      <w:divBdr>
        <w:top w:val="none" w:sz="0" w:space="0" w:color="auto"/>
        <w:left w:val="none" w:sz="0" w:space="0" w:color="auto"/>
        <w:bottom w:val="none" w:sz="0" w:space="0" w:color="auto"/>
        <w:right w:val="none" w:sz="0" w:space="0" w:color="auto"/>
      </w:divBdr>
    </w:div>
    <w:div w:id="1429278834">
      <w:bodyDiv w:val="1"/>
      <w:marLeft w:val="0"/>
      <w:marRight w:val="0"/>
      <w:marTop w:val="0"/>
      <w:marBottom w:val="0"/>
      <w:divBdr>
        <w:top w:val="none" w:sz="0" w:space="0" w:color="auto"/>
        <w:left w:val="none" w:sz="0" w:space="0" w:color="auto"/>
        <w:bottom w:val="none" w:sz="0" w:space="0" w:color="auto"/>
        <w:right w:val="none" w:sz="0" w:space="0" w:color="auto"/>
      </w:divBdr>
    </w:div>
    <w:div w:id="1480539859">
      <w:bodyDiv w:val="1"/>
      <w:marLeft w:val="0"/>
      <w:marRight w:val="0"/>
      <w:marTop w:val="0"/>
      <w:marBottom w:val="0"/>
      <w:divBdr>
        <w:top w:val="none" w:sz="0" w:space="0" w:color="auto"/>
        <w:left w:val="none" w:sz="0" w:space="0" w:color="auto"/>
        <w:bottom w:val="none" w:sz="0" w:space="0" w:color="auto"/>
        <w:right w:val="none" w:sz="0" w:space="0" w:color="auto"/>
      </w:divBdr>
    </w:div>
    <w:div w:id="1498110780">
      <w:bodyDiv w:val="1"/>
      <w:marLeft w:val="0"/>
      <w:marRight w:val="0"/>
      <w:marTop w:val="0"/>
      <w:marBottom w:val="0"/>
      <w:divBdr>
        <w:top w:val="none" w:sz="0" w:space="0" w:color="auto"/>
        <w:left w:val="none" w:sz="0" w:space="0" w:color="auto"/>
        <w:bottom w:val="none" w:sz="0" w:space="0" w:color="auto"/>
        <w:right w:val="none" w:sz="0" w:space="0" w:color="auto"/>
      </w:divBdr>
    </w:div>
    <w:div w:id="1520391237">
      <w:bodyDiv w:val="1"/>
      <w:marLeft w:val="0"/>
      <w:marRight w:val="0"/>
      <w:marTop w:val="0"/>
      <w:marBottom w:val="0"/>
      <w:divBdr>
        <w:top w:val="none" w:sz="0" w:space="0" w:color="auto"/>
        <w:left w:val="none" w:sz="0" w:space="0" w:color="auto"/>
        <w:bottom w:val="none" w:sz="0" w:space="0" w:color="auto"/>
        <w:right w:val="none" w:sz="0" w:space="0" w:color="auto"/>
      </w:divBdr>
    </w:div>
    <w:div w:id="1532842599">
      <w:bodyDiv w:val="1"/>
      <w:marLeft w:val="0"/>
      <w:marRight w:val="0"/>
      <w:marTop w:val="0"/>
      <w:marBottom w:val="0"/>
      <w:divBdr>
        <w:top w:val="none" w:sz="0" w:space="0" w:color="auto"/>
        <w:left w:val="none" w:sz="0" w:space="0" w:color="auto"/>
        <w:bottom w:val="none" w:sz="0" w:space="0" w:color="auto"/>
        <w:right w:val="none" w:sz="0" w:space="0" w:color="auto"/>
      </w:divBdr>
    </w:div>
    <w:div w:id="1538851997">
      <w:bodyDiv w:val="1"/>
      <w:marLeft w:val="0"/>
      <w:marRight w:val="0"/>
      <w:marTop w:val="0"/>
      <w:marBottom w:val="0"/>
      <w:divBdr>
        <w:top w:val="none" w:sz="0" w:space="0" w:color="auto"/>
        <w:left w:val="none" w:sz="0" w:space="0" w:color="auto"/>
        <w:bottom w:val="none" w:sz="0" w:space="0" w:color="auto"/>
        <w:right w:val="none" w:sz="0" w:space="0" w:color="auto"/>
      </w:divBdr>
    </w:div>
    <w:div w:id="1548764254">
      <w:bodyDiv w:val="1"/>
      <w:marLeft w:val="0"/>
      <w:marRight w:val="0"/>
      <w:marTop w:val="0"/>
      <w:marBottom w:val="0"/>
      <w:divBdr>
        <w:top w:val="none" w:sz="0" w:space="0" w:color="auto"/>
        <w:left w:val="none" w:sz="0" w:space="0" w:color="auto"/>
        <w:bottom w:val="none" w:sz="0" w:space="0" w:color="auto"/>
        <w:right w:val="none" w:sz="0" w:space="0" w:color="auto"/>
      </w:divBdr>
    </w:div>
    <w:div w:id="1551921290">
      <w:bodyDiv w:val="1"/>
      <w:marLeft w:val="0"/>
      <w:marRight w:val="0"/>
      <w:marTop w:val="0"/>
      <w:marBottom w:val="0"/>
      <w:divBdr>
        <w:top w:val="none" w:sz="0" w:space="0" w:color="auto"/>
        <w:left w:val="none" w:sz="0" w:space="0" w:color="auto"/>
        <w:bottom w:val="none" w:sz="0" w:space="0" w:color="auto"/>
        <w:right w:val="none" w:sz="0" w:space="0" w:color="auto"/>
      </w:divBdr>
    </w:div>
    <w:div w:id="1557813925">
      <w:bodyDiv w:val="1"/>
      <w:marLeft w:val="0"/>
      <w:marRight w:val="0"/>
      <w:marTop w:val="0"/>
      <w:marBottom w:val="0"/>
      <w:divBdr>
        <w:top w:val="none" w:sz="0" w:space="0" w:color="auto"/>
        <w:left w:val="none" w:sz="0" w:space="0" w:color="auto"/>
        <w:bottom w:val="none" w:sz="0" w:space="0" w:color="auto"/>
        <w:right w:val="none" w:sz="0" w:space="0" w:color="auto"/>
      </w:divBdr>
    </w:div>
    <w:div w:id="1559055571">
      <w:bodyDiv w:val="1"/>
      <w:marLeft w:val="0"/>
      <w:marRight w:val="0"/>
      <w:marTop w:val="0"/>
      <w:marBottom w:val="0"/>
      <w:divBdr>
        <w:top w:val="none" w:sz="0" w:space="0" w:color="auto"/>
        <w:left w:val="none" w:sz="0" w:space="0" w:color="auto"/>
        <w:bottom w:val="none" w:sz="0" w:space="0" w:color="auto"/>
        <w:right w:val="none" w:sz="0" w:space="0" w:color="auto"/>
      </w:divBdr>
    </w:div>
    <w:div w:id="1563252699">
      <w:bodyDiv w:val="1"/>
      <w:marLeft w:val="0"/>
      <w:marRight w:val="0"/>
      <w:marTop w:val="0"/>
      <w:marBottom w:val="0"/>
      <w:divBdr>
        <w:top w:val="none" w:sz="0" w:space="0" w:color="auto"/>
        <w:left w:val="none" w:sz="0" w:space="0" w:color="auto"/>
        <w:bottom w:val="none" w:sz="0" w:space="0" w:color="auto"/>
        <w:right w:val="none" w:sz="0" w:space="0" w:color="auto"/>
      </w:divBdr>
    </w:div>
    <w:div w:id="1569225950">
      <w:bodyDiv w:val="1"/>
      <w:marLeft w:val="0"/>
      <w:marRight w:val="0"/>
      <w:marTop w:val="0"/>
      <w:marBottom w:val="0"/>
      <w:divBdr>
        <w:top w:val="none" w:sz="0" w:space="0" w:color="auto"/>
        <w:left w:val="none" w:sz="0" w:space="0" w:color="auto"/>
        <w:bottom w:val="none" w:sz="0" w:space="0" w:color="auto"/>
        <w:right w:val="none" w:sz="0" w:space="0" w:color="auto"/>
      </w:divBdr>
    </w:div>
    <w:div w:id="1579514735">
      <w:bodyDiv w:val="1"/>
      <w:marLeft w:val="0"/>
      <w:marRight w:val="0"/>
      <w:marTop w:val="0"/>
      <w:marBottom w:val="0"/>
      <w:divBdr>
        <w:top w:val="none" w:sz="0" w:space="0" w:color="auto"/>
        <w:left w:val="none" w:sz="0" w:space="0" w:color="auto"/>
        <w:bottom w:val="none" w:sz="0" w:space="0" w:color="auto"/>
        <w:right w:val="none" w:sz="0" w:space="0" w:color="auto"/>
      </w:divBdr>
    </w:div>
    <w:div w:id="1602956671">
      <w:bodyDiv w:val="1"/>
      <w:marLeft w:val="0"/>
      <w:marRight w:val="0"/>
      <w:marTop w:val="0"/>
      <w:marBottom w:val="0"/>
      <w:divBdr>
        <w:top w:val="none" w:sz="0" w:space="0" w:color="auto"/>
        <w:left w:val="none" w:sz="0" w:space="0" w:color="auto"/>
        <w:bottom w:val="none" w:sz="0" w:space="0" w:color="auto"/>
        <w:right w:val="none" w:sz="0" w:space="0" w:color="auto"/>
      </w:divBdr>
    </w:div>
    <w:div w:id="1609578883">
      <w:bodyDiv w:val="1"/>
      <w:marLeft w:val="0"/>
      <w:marRight w:val="0"/>
      <w:marTop w:val="0"/>
      <w:marBottom w:val="0"/>
      <w:divBdr>
        <w:top w:val="none" w:sz="0" w:space="0" w:color="auto"/>
        <w:left w:val="none" w:sz="0" w:space="0" w:color="auto"/>
        <w:bottom w:val="none" w:sz="0" w:space="0" w:color="auto"/>
        <w:right w:val="none" w:sz="0" w:space="0" w:color="auto"/>
      </w:divBdr>
    </w:div>
    <w:div w:id="1627538167">
      <w:bodyDiv w:val="1"/>
      <w:marLeft w:val="0"/>
      <w:marRight w:val="0"/>
      <w:marTop w:val="0"/>
      <w:marBottom w:val="0"/>
      <w:divBdr>
        <w:top w:val="none" w:sz="0" w:space="0" w:color="auto"/>
        <w:left w:val="none" w:sz="0" w:space="0" w:color="auto"/>
        <w:bottom w:val="none" w:sz="0" w:space="0" w:color="auto"/>
        <w:right w:val="none" w:sz="0" w:space="0" w:color="auto"/>
      </w:divBdr>
    </w:div>
    <w:div w:id="1639796397">
      <w:bodyDiv w:val="1"/>
      <w:marLeft w:val="0"/>
      <w:marRight w:val="0"/>
      <w:marTop w:val="0"/>
      <w:marBottom w:val="0"/>
      <w:divBdr>
        <w:top w:val="none" w:sz="0" w:space="0" w:color="auto"/>
        <w:left w:val="none" w:sz="0" w:space="0" w:color="auto"/>
        <w:bottom w:val="none" w:sz="0" w:space="0" w:color="auto"/>
        <w:right w:val="none" w:sz="0" w:space="0" w:color="auto"/>
      </w:divBdr>
    </w:div>
    <w:div w:id="1651204473">
      <w:bodyDiv w:val="1"/>
      <w:marLeft w:val="0"/>
      <w:marRight w:val="0"/>
      <w:marTop w:val="0"/>
      <w:marBottom w:val="0"/>
      <w:divBdr>
        <w:top w:val="none" w:sz="0" w:space="0" w:color="auto"/>
        <w:left w:val="none" w:sz="0" w:space="0" w:color="auto"/>
        <w:bottom w:val="none" w:sz="0" w:space="0" w:color="auto"/>
        <w:right w:val="none" w:sz="0" w:space="0" w:color="auto"/>
      </w:divBdr>
    </w:div>
    <w:div w:id="1654723787">
      <w:bodyDiv w:val="1"/>
      <w:marLeft w:val="0"/>
      <w:marRight w:val="0"/>
      <w:marTop w:val="0"/>
      <w:marBottom w:val="0"/>
      <w:divBdr>
        <w:top w:val="none" w:sz="0" w:space="0" w:color="auto"/>
        <w:left w:val="none" w:sz="0" w:space="0" w:color="auto"/>
        <w:bottom w:val="none" w:sz="0" w:space="0" w:color="auto"/>
        <w:right w:val="none" w:sz="0" w:space="0" w:color="auto"/>
      </w:divBdr>
    </w:div>
    <w:div w:id="1661807498">
      <w:bodyDiv w:val="1"/>
      <w:marLeft w:val="0"/>
      <w:marRight w:val="0"/>
      <w:marTop w:val="0"/>
      <w:marBottom w:val="0"/>
      <w:divBdr>
        <w:top w:val="none" w:sz="0" w:space="0" w:color="auto"/>
        <w:left w:val="none" w:sz="0" w:space="0" w:color="auto"/>
        <w:bottom w:val="none" w:sz="0" w:space="0" w:color="auto"/>
        <w:right w:val="none" w:sz="0" w:space="0" w:color="auto"/>
      </w:divBdr>
    </w:div>
    <w:div w:id="1662343815">
      <w:bodyDiv w:val="1"/>
      <w:marLeft w:val="0"/>
      <w:marRight w:val="0"/>
      <w:marTop w:val="0"/>
      <w:marBottom w:val="0"/>
      <w:divBdr>
        <w:top w:val="none" w:sz="0" w:space="0" w:color="auto"/>
        <w:left w:val="none" w:sz="0" w:space="0" w:color="auto"/>
        <w:bottom w:val="none" w:sz="0" w:space="0" w:color="auto"/>
        <w:right w:val="none" w:sz="0" w:space="0" w:color="auto"/>
      </w:divBdr>
    </w:div>
    <w:div w:id="1699963627">
      <w:bodyDiv w:val="1"/>
      <w:marLeft w:val="0"/>
      <w:marRight w:val="0"/>
      <w:marTop w:val="0"/>
      <w:marBottom w:val="0"/>
      <w:divBdr>
        <w:top w:val="none" w:sz="0" w:space="0" w:color="auto"/>
        <w:left w:val="none" w:sz="0" w:space="0" w:color="auto"/>
        <w:bottom w:val="none" w:sz="0" w:space="0" w:color="auto"/>
        <w:right w:val="none" w:sz="0" w:space="0" w:color="auto"/>
      </w:divBdr>
    </w:div>
    <w:div w:id="1725982705">
      <w:bodyDiv w:val="1"/>
      <w:marLeft w:val="0"/>
      <w:marRight w:val="0"/>
      <w:marTop w:val="0"/>
      <w:marBottom w:val="0"/>
      <w:divBdr>
        <w:top w:val="none" w:sz="0" w:space="0" w:color="auto"/>
        <w:left w:val="none" w:sz="0" w:space="0" w:color="auto"/>
        <w:bottom w:val="none" w:sz="0" w:space="0" w:color="auto"/>
        <w:right w:val="none" w:sz="0" w:space="0" w:color="auto"/>
      </w:divBdr>
    </w:div>
    <w:div w:id="1779596684">
      <w:bodyDiv w:val="1"/>
      <w:marLeft w:val="0"/>
      <w:marRight w:val="0"/>
      <w:marTop w:val="0"/>
      <w:marBottom w:val="0"/>
      <w:divBdr>
        <w:top w:val="none" w:sz="0" w:space="0" w:color="auto"/>
        <w:left w:val="none" w:sz="0" w:space="0" w:color="auto"/>
        <w:bottom w:val="none" w:sz="0" w:space="0" w:color="auto"/>
        <w:right w:val="none" w:sz="0" w:space="0" w:color="auto"/>
      </w:divBdr>
    </w:div>
    <w:div w:id="1794322948">
      <w:bodyDiv w:val="1"/>
      <w:marLeft w:val="0"/>
      <w:marRight w:val="0"/>
      <w:marTop w:val="0"/>
      <w:marBottom w:val="0"/>
      <w:divBdr>
        <w:top w:val="none" w:sz="0" w:space="0" w:color="auto"/>
        <w:left w:val="none" w:sz="0" w:space="0" w:color="auto"/>
        <w:bottom w:val="none" w:sz="0" w:space="0" w:color="auto"/>
        <w:right w:val="none" w:sz="0" w:space="0" w:color="auto"/>
      </w:divBdr>
    </w:div>
    <w:div w:id="1815440912">
      <w:bodyDiv w:val="1"/>
      <w:marLeft w:val="0"/>
      <w:marRight w:val="0"/>
      <w:marTop w:val="0"/>
      <w:marBottom w:val="0"/>
      <w:divBdr>
        <w:top w:val="none" w:sz="0" w:space="0" w:color="auto"/>
        <w:left w:val="none" w:sz="0" w:space="0" w:color="auto"/>
        <w:bottom w:val="none" w:sz="0" w:space="0" w:color="auto"/>
        <w:right w:val="none" w:sz="0" w:space="0" w:color="auto"/>
      </w:divBdr>
    </w:div>
    <w:div w:id="1817381830">
      <w:bodyDiv w:val="1"/>
      <w:marLeft w:val="0"/>
      <w:marRight w:val="0"/>
      <w:marTop w:val="0"/>
      <w:marBottom w:val="0"/>
      <w:divBdr>
        <w:top w:val="none" w:sz="0" w:space="0" w:color="auto"/>
        <w:left w:val="none" w:sz="0" w:space="0" w:color="auto"/>
        <w:bottom w:val="none" w:sz="0" w:space="0" w:color="auto"/>
        <w:right w:val="none" w:sz="0" w:space="0" w:color="auto"/>
      </w:divBdr>
    </w:div>
    <w:div w:id="1822455272">
      <w:bodyDiv w:val="1"/>
      <w:marLeft w:val="0"/>
      <w:marRight w:val="0"/>
      <w:marTop w:val="0"/>
      <w:marBottom w:val="0"/>
      <w:divBdr>
        <w:top w:val="none" w:sz="0" w:space="0" w:color="auto"/>
        <w:left w:val="none" w:sz="0" w:space="0" w:color="auto"/>
        <w:bottom w:val="none" w:sz="0" w:space="0" w:color="auto"/>
        <w:right w:val="none" w:sz="0" w:space="0" w:color="auto"/>
      </w:divBdr>
    </w:div>
    <w:div w:id="1827430534">
      <w:bodyDiv w:val="1"/>
      <w:marLeft w:val="0"/>
      <w:marRight w:val="0"/>
      <w:marTop w:val="0"/>
      <w:marBottom w:val="0"/>
      <w:divBdr>
        <w:top w:val="none" w:sz="0" w:space="0" w:color="auto"/>
        <w:left w:val="none" w:sz="0" w:space="0" w:color="auto"/>
        <w:bottom w:val="none" w:sz="0" w:space="0" w:color="auto"/>
        <w:right w:val="none" w:sz="0" w:space="0" w:color="auto"/>
      </w:divBdr>
    </w:div>
    <w:div w:id="1834956652">
      <w:bodyDiv w:val="1"/>
      <w:marLeft w:val="0"/>
      <w:marRight w:val="0"/>
      <w:marTop w:val="0"/>
      <w:marBottom w:val="0"/>
      <w:divBdr>
        <w:top w:val="none" w:sz="0" w:space="0" w:color="auto"/>
        <w:left w:val="none" w:sz="0" w:space="0" w:color="auto"/>
        <w:bottom w:val="none" w:sz="0" w:space="0" w:color="auto"/>
        <w:right w:val="none" w:sz="0" w:space="0" w:color="auto"/>
      </w:divBdr>
    </w:div>
    <w:div w:id="1888293296">
      <w:bodyDiv w:val="1"/>
      <w:marLeft w:val="0"/>
      <w:marRight w:val="0"/>
      <w:marTop w:val="0"/>
      <w:marBottom w:val="0"/>
      <w:divBdr>
        <w:top w:val="none" w:sz="0" w:space="0" w:color="auto"/>
        <w:left w:val="none" w:sz="0" w:space="0" w:color="auto"/>
        <w:bottom w:val="none" w:sz="0" w:space="0" w:color="auto"/>
        <w:right w:val="none" w:sz="0" w:space="0" w:color="auto"/>
      </w:divBdr>
    </w:div>
    <w:div w:id="1912883051">
      <w:bodyDiv w:val="1"/>
      <w:marLeft w:val="0"/>
      <w:marRight w:val="0"/>
      <w:marTop w:val="0"/>
      <w:marBottom w:val="0"/>
      <w:divBdr>
        <w:top w:val="none" w:sz="0" w:space="0" w:color="auto"/>
        <w:left w:val="none" w:sz="0" w:space="0" w:color="auto"/>
        <w:bottom w:val="none" w:sz="0" w:space="0" w:color="auto"/>
        <w:right w:val="none" w:sz="0" w:space="0" w:color="auto"/>
      </w:divBdr>
    </w:div>
    <w:div w:id="1974673447">
      <w:bodyDiv w:val="1"/>
      <w:marLeft w:val="0"/>
      <w:marRight w:val="0"/>
      <w:marTop w:val="0"/>
      <w:marBottom w:val="0"/>
      <w:divBdr>
        <w:top w:val="none" w:sz="0" w:space="0" w:color="auto"/>
        <w:left w:val="none" w:sz="0" w:space="0" w:color="auto"/>
        <w:bottom w:val="none" w:sz="0" w:space="0" w:color="auto"/>
        <w:right w:val="none" w:sz="0" w:space="0" w:color="auto"/>
      </w:divBdr>
    </w:div>
    <w:div w:id="1988046704">
      <w:bodyDiv w:val="1"/>
      <w:marLeft w:val="0"/>
      <w:marRight w:val="0"/>
      <w:marTop w:val="0"/>
      <w:marBottom w:val="0"/>
      <w:divBdr>
        <w:top w:val="none" w:sz="0" w:space="0" w:color="auto"/>
        <w:left w:val="none" w:sz="0" w:space="0" w:color="auto"/>
        <w:bottom w:val="none" w:sz="0" w:space="0" w:color="auto"/>
        <w:right w:val="none" w:sz="0" w:space="0" w:color="auto"/>
      </w:divBdr>
    </w:div>
    <w:div w:id="1990555368">
      <w:bodyDiv w:val="1"/>
      <w:marLeft w:val="0"/>
      <w:marRight w:val="0"/>
      <w:marTop w:val="0"/>
      <w:marBottom w:val="0"/>
      <w:divBdr>
        <w:top w:val="none" w:sz="0" w:space="0" w:color="auto"/>
        <w:left w:val="none" w:sz="0" w:space="0" w:color="auto"/>
        <w:bottom w:val="none" w:sz="0" w:space="0" w:color="auto"/>
        <w:right w:val="none" w:sz="0" w:space="0" w:color="auto"/>
      </w:divBdr>
    </w:div>
    <w:div w:id="1997107763">
      <w:bodyDiv w:val="1"/>
      <w:marLeft w:val="0"/>
      <w:marRight w:val="0"/>
      <w:marTop w:val="0"/>
      <w:marBottom w:val="0"/>
      <w:divBdr>
        <w:top w:val="none" w:sz="0" w:space="0" w:color="auto"/>
        <w:left w:val="none" w:sz="0" w:space="0" w:color="auto"/>
        <w:bottom w:val="none" w:sz="0" w:space="0" w:color="auto"/>
        <w:right w:val="none" w:sz="0" w:space="0" w:color="auto"/>
      </w:divBdr>
    </w:div>
    <w:div w:id="2018654197">
      <w:bodyDiv w:val="1"/>
      <w:marLeft w:val="0"/>
      <w:marRight w:val="0"/>
      <w:marTop w:val="0"/>
      <w:marBottom w:val="0"/>
      <w:divBdr>
        <w:top w:val="none" w:sz="0" w:space="0" w:color="auto"/>
        <w:left w:val="none" w:sz="0" w:space="0" w:color="auto"/>
        <w:bottom w:val="none" w:sz="0" w:space="0" w:color="auto"/>
        <w:right w:val="none" w:sz="0" w:space="0" w:color="auto"/>
      </w:divBdr>
    </w:div>
    <w:div w:id="2039232506">
      <w:bodyDiv w:val="1"/>
      <w:marLeft w:val="0"/>
      <w:marRight w:val="0"/>
      <w:marTop w:val="0"/>
      <w:marBottom w:val="0"/>
      <w:divBdr>
        <w:top w:val="none" w:sz="0" w:space="0" w:color="auto"/>
        <w:left w:val="none" w:sz="0" w:space="0" w:color="auto"/>
        <w:bottom w:val="none" w:sz="0" w:space="0" w:color="auto"/>
        <w:right w:val="none" w:sz="0" w:space="0" w:color="auto"/>
      </w:divBdr>
    </w:div>
    <w:div w:id="2057385756">
      <w:bodyDiv w:val="1"/>
      <w:marLeft w:val="0"/>
      <w:marRight w:val="0"/>
      <w:marTop w:val="0"/>
      <w:marBottom w:val="0"/>
      <w:divBdr>
        <w:top w:val="none" w:sz="0" w:space="0" w:color="auto"/>
        <w:left w:val="none" w:sz="0" w:space="0" w:color="auto"/>
        <w:bottom w:val="none" w:sz="0" w:space="0" w:color="auto"/>
        <w:right w:val="none" w:sz="0" w:space="0" w:color="auto"/>
      </w:divBdr>
    </w:div>
    <w:div w:id="2072344327">
      <w:bodyDiv w:val="1"/>
      <w:marLeft w:val="0"/>
      <w:marRight w:val="0"/>
      <w:marTop w:val="0"/>
      <w:marBottom w:val="0"/>
      <w:divBdr>
        <w:top w:val="none" w:sz="0" w:space="0" w:color="auto"/>
        <w:left w:val="none" w:sz="0" w:space="0" w:color="auto"/>
        <w:bottom w:val="none" w:sz="0" w:space="0" w:color="auto"/>
        <w:right w:val="none" w:sz="0" w:space="0" w:color="auto"/>
      </w:divBdr>
    </w:div>
    <w:div w:id="2096784861">
      <w:bodyDiv w:val="1"/>
      <w:marLeft w:val="0"/>
      <w:marRight w:val="0"/>
      <w:marTop w:val="0"/>
      <w:marBottom w:val="0"/>
      <w:divBdr>
        <w:top w:val="none" w:sz="0" w:space="0" w:color="auto"/>
        <w:left w:val="none" w:sz="0" w:space="0" w:color="auto"/>
        <w:bottom w:val="none" w:sz="0" w:space="0" w:color="auto"/>
        <w:right w:val="none" w:sz="0" w:space="0" w:color="auto"/>
      </w:divBdr>
    </w:div>
    <w:div w:id="2099010958">
      <w:bodyDiv w:val="1"/>
      <w:marLeft w:val="0"/>
      <w:marRight w:val="0"/>
      <w:marTop w:val="0"/>
      <w:marBottom w:val="0"/>
      <w:divBdr>
        <w:top w:val="none" w:sz="0" w:space="0" w:color="auto"/>
        <w:left w:val="none" w:sz="0" w:space="0" w:color="auto"/>
        <w:bottom w:val="none" w:sz="0" w:space="0" w:color="auto"/>
        <w:right w:val="none" w:sz="0" w:space="0" w:color="auto"/>
      </w:divBdr>
    </w:div>
    <w:div w:id="2102143145">
      <w:bodyDiv w:val="1"/>
      <w:marLeft w:val="0"/>
      <w:marRight w:val="0"/>
      <w:marTop w:val="0"/>
      <w:marBottom w:val="0"/>
      <w:divBdr>
        <w:top w:val="none" w:sz="0" w:space="0" w:color="auto"/>
        <w:left w:val="none" w:sz="0" w:space="0" w:color="auto"/>
        <w:bottom w:val="none" w:sz="0" w:space="0" w:color="auto"/>
        <w:right w:val="none" w:sz="0" w:space="0" w:color="auto"/>
      </w:divBdr>
    </w:div>
    <w:div w:id="2109425309">
      <w:bodyDiv w:val="1"/>
      <w:marLeft w:val="0"/>
      <w:marRight w:val="0"/>
      <w:marTop w:val="0"/>
      <w:marBottom w:val="0"/>
      <w:divBdr>
        <w:top w:val="none" w:sz="0" w:space="0" w:color="auto"/>
        <w:left w:val="none" w:sz="0" w:space="0" w:color="auto"/>
        <w:bottom w:val="none" w:sz="0" w:space="0" w:color="auto"/>
        <w:right w:val="none" w:sz="0" w:space="0" w:color="auto"/>
      </w:divBdr>
    </w:div>
    <w:div w:id="2121755801">
      <w:bodyDiv w:val="1"/>
      <w:marLeft w:val="0"/>
      <w:marRight w:val="0"/>
      <w:marTop w:val="0"/>
      <w:marBottom w:val="0"/>
      <w:divBdr>
        <w:top w:val="none" w:sz="0" w:space="0" w:color="auto"/>
        <w:left w:val="none" w:sz="0" w:space="0" w:color="auto"/>
        <w:bottom w:val="none" w:sz="0" w:space="0" w:color="auto"/>
        <w:right w:val="none" w:sz="0" w:space="0" w:color="auto"/>
      </w:divBdr>
    </w:div>
    <w:div w:id="2125225483">
      <w:bodyDiv w:val="1"/>
      <w:marLeft w:val="0"/>
      <w:marRight w:val="0"/>
      <w:marTop w:val="0"/>
      <w:marBottom w:val="0"/>
      <w:divBdr>
        <w:top w:val="none" w:sz="0" w:space="0" w:color="auto"/>
        <w:left w:val="none" w:sz="0" w:space="0" w:color="auto"/>
        <w:bottom w:val="none" w:sz="0" w:space="0" w:color="auto"/>
        <w:right w:val="none" w:sz="0" w:space="0" w:color="auto"/>
      </w:divBdr>
    </w:div>
    <w:div w:id="2135127825">
      <w:bodyDiv w:val="1"/>
      <w:marLeft w:val="0"/>
      <w:marRight w:val="0"/>
      <w:marTop w:val="0"/>
      <w:marBottom w:val="0"/>
      <w:divBdr>
        <w:top w:val="none" w:sz="0" w:space="0" w:color="auto"/>
        <w:left w:val="none" w:sz="0" w:space="0" w:color="auto"/>
        <w:bottom w:val="none" w:sz="0" w:space="0" w:color="auto"/>
        <w:right w:val="none" w:sz="0" w:space="0" w:color="auto"/>
      </w:divBdr>
    </w:div>
    <w:div w:id="2146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ttps/www.fidelityinternationa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ska.krohova@crestcom.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ttps/www.fidelity.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DA9842DBA47FB4F97EE05D15FAAB50A" ma:contentTypeVersion="4" ma:contentTypeDescription="Vytvoří nový dokument" ma:contentTypeScope="" ma:versionID="6f9644b4e43d6333fe68447961a283bf">
  <xsd:schema xmlns:xsd="http://www.w3.org/2001/XMLSchema" xmlns:xs="http://www.w3.org/2001/XMLSchema" xmlns:p="http://schemas.microsoft.com/office/2006/metadata/properties" xmlns:ns3="582c5473-2b97-4cd0-ba19-d66cd0f46ac6" targetNamespace="http://schemas.microsoft.com/office/2006/metadata/properties" ma:root="true" ma:fieldsID="52da21f40bf929f7e4944f73f6eb16e5" ns3:_="">
    <xsd:import namespace="582c5473-2b97-4cd0-ba19-d66cd0f46ac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c5473-2b97-4cd0-ba19-d66cd0f46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82c5473-2b97-4cd0-ba19-d66cd0f46ac6" xsi:nil="true"/>
  </documentManagement>
</p:properties>
</file>

<file path=customXml/itemProps1.xml><?xml version="1.0" encoding="utf-8"?>
<ds:datastoreItem xmlns:ds="http://schemas.openxmlformats.org/officeDocument/2006/customXml" ds:itemID="{6FF2901F-9299-4A9A-817D-EAA7280ADC3F}">
  <ds:schemaRefs>
    <ds:schemaRef ds:uri="http://schemas.microsoft.com/sharepoint/v3/contenttype/forms"/>
  </ds:schemaRefs>
</ds:datastoreItem>
</file>

<file path=customXml/itemProps2.xml><?xml version="1.0" encoding="utf-8"?>
<ds:datastoreItem xmlns:ds="http://schemas.openxmlformats.org/officeDocument/2006/customXml" ds:itemID="{3C3F1069-DFF9-4822-8ACC-59BB7CBADAA3}">
  <ds:schemaRefs>
    <ds:schemaRef ds:uri="http://schemas.openxmlformats.org/officeDocument/2006/bibliography"/>
  </ds:schemaRefs>
</ds:datastoreItem>
</file>

<file path=customXml/itemProps3.xml><?xml version="1.0" encoding="utf-8"?>
<ds:datastoreItem xmlns:ds="http://schemas.openxmlformats.org/officeDocument/2006/customXml" ds:itemID="{15A7AA92-9CB9-4BF8-B360-F6AABA4F8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c5473-2b97-4cd0-ba19-d66cd0f46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663A9B-5F35-4DB3-B406-110DCFBB6C4E}">
  <ds:schemaRefs>
    <ds:schemaRef ds:uri="http://schemas.microsoft.com/office/2006/metadata/properties"/>
    <ds:schemaRef ds:uri="http://schemas.microsoft.com/office/infopath/2007/PartnerControls"/>
    <ds:schemaRef ds:uri="582c5473-2b97-4cd0-ba19-d66cd0f46ac6"/>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2910</Words>
  <Characters>17169</Characters>
  <Application>Microsoft Office Word</Application>
  <DocSecurity>0</DocSecurity>
  <Lines>143</Lines>
  <Paragraphs>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Dokument</vt:lpstr>
      <vt:lpstr>Dokument</vt:lpstr>
    </vt:vector>
  </TitlesOfParts>
  <Company>TPA-NOTIA, s.r.o.</Company>
  <LinksUpToDate>false</LinksUpToDate>
  <CharactersWithSpaces>20039</CharactersWithSpaces>
  <SharedDoc>false</SharedDoc>
  <HLinks>
    <vt:vector size="18" baseType="variant">
      <vt:variant>
        <vt:i4>7012365</vt:i4>
      </vt:variant>
      <vt:variant>
        <vt:i4>9</vt:i4>
      </vt:variant>
      <vt:variant>
        <vt:i4>0</vt:i4>
      </vt:variant>
      <vt:variant>
        <vt:i4>5</vt:i4>
      </vt:variant>
      <vt:variant>
        <vt:lpwstr>mailto:eliska.krohova@crestcom.cz</vt:lpwstr>
      </vt:variant>
      <vt:variant>
        <vt:lpwstr/>
      </vt:variant>
      <vt:variant>
        <vt:i4>1572878</vt:i4>
      </vt:variant>
      <vt:variant>
        <vt:i4>-1</vt:i4>
      </vt:variant>
      <vt:variant>
        <vt:i4>1033</vt:i4>
      </vt:variant>
      <vt:variant>
        <vt:i4>4</vt:i4>
      </vt:variant>
      <vt:variant>
        <vt:lpwstr>https://www.fidelity.cz/</vt:lpwstr>
      </vt:variant>
      <vt:variant>
        <vt:lpwstr/>
      </vt:variant>
      <vt:variant>
        <vt:i4>1572878</vt:i4>
      </vt:variant>
      <vt:variant>
        <vt:i4>-1</vt:i4>
      </vt:variant>
      <vt:variant>
        <vt:i4>1032</vt:i4>
      </vt:variant>
      <vt:variant>
        <vt:i4>4</vt:i4>
      </vt:variant>
      <vt:variant>
        <vt:lpwstr>https://www.fidelity.cz/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Martina Lambert</dc:creator>
  <cp:lastModifiedBy>Jana Bělochová | CrestCommunications a.s.</cp:lastModifiedBy>
  <cp:revision>3</cp:revision>
  <cp:lastPrinted>2015-11-30T16:29:00Z</cp:lastPrinted>
  <dcterms:created xsi:type="dcterms:W3CDTF">2026-07-31T11:22:00Z</dcterms:created>
  <dcterms:modified xsi:type="dcterms:W3CDTF">2026-07-31T11:25:00Z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0x0101004DA9842DBA47FB4F97EE05D15FAAB50A</vt:lpwstr>
  </property>
  <property fmtid="{D5CDD505-2E9C-101B-9397-08002B2CF9AE}" pid="3" name="MSIP_Label_be873328-34e0-4f6c-84cb-dd757c63c1a0_Enabled">
    <vt:lpwstr>true</vt:lpwstr>
  </property>
  <property fmtid="{D5CDD505-2E9C-101B-9397-08002B2CF9AE}" pid="4" name="MSIP_Label_be873328-34e0-4f6c-84cb-dd757c63c1a0_SetDate">
    <vt:lpwstr>2023-03-20T14:00:05Z</vt:lpwstr>
  </property>
  <property fmtid="{D5CDD505-2E9C-101B-9397-08002B2CF9AE}" pid="5" name="MSIP_Label_be873328-34e0-4f6c-84cb-dd757c63c1a0_Method">
    <vt:lpwstr>Privileged</vt:lpwstr>
  </property>
  <property fmtid="{D5CDD505-2E9C-101B-9397-08002B2CF9AE}" pid="6" name="MSIP_Label_be873328-34e0-4f6c-84cb-dd757c63c1a0_Name">
    <vt:lpwstr>FIL-Internal</vt:lpwstr>
  </property>
  <property fmtid="{D5CDD505-2E9C-101B-9397-08002B2CF9AE}" pid="7" name="MSIP_Label_be873328-34e0-4f6c-84cb-dd757c63c1a0_SiteId">
    <vt:lpwstr>6b94db52-3791-432c-b97e-871411cd202e</vt:lpwstr>
  </property>
  <property fmtid="{D5CDD505-2E9C-101B-9397-08002B2CF9AE}" pid="8" name="MSIP_Label_be873328-34e0-4f6c-84cb-dd757c63c1a0_ActionId">
    <vt:lpwstr>8add6277-4d5f-4a76-983e-75d9da0c44e6</vt:lpwstr>
  </property>
  <property fmtid="{D5CDD505-2E9C-101B-9397-08002B2CF9AE}" pid="9" name="MSIP_Label_be873328-34e0-4f6c-84cb-dd757c63c1a0_ContentBits">
    <vt:lpwstr>0</vt:lpwstr>
  </property>
</Properties>
</file>